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9555E2" w:rsidRDefault="00283183" w:rsidP="00283183">
                <w:pPr>
                  <w:bidi w:val="0"/>
                  <w:jc w:val="right"/>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2914D6" w:rsidRDefault="002914D6">
            <w:pPr>
              <w:rPr>
                <w:rFonts w:ascii="Arial" w:hAnsi="Arial"/>
                <w:b/>
                <w:bCs/>
                <w:noProof w:val="0"/>
                <w:sz w:val="26"/>
                <w:szCs w:val="26"/>
              </w:rPr>
            </w:pPr>
          </w:p>
          <w:p w:rsidR="002914D6" w:rsidRDefault="009014D0" w:rsidP="009605D6">
            <w:pPr>
              <w:rPr>
                <w:b/>
                <w:bCs/>
                <w:noProof w:val="0"/>
                <w:sz w:val="26"/>
                <w:szCs w:val="26"/>
                <w:rtl/>
              </w:rPr>
            </w:pPr>
            <w:sdt>
              <w:sdtPr>
                <w:rPr>
                  <w:rtl/>
                </w:rPr>
                <w:alias w:val="1478"/>
                <w:tag w:val="1478"/>
                <w:id w:val="-2019765730"/>
                <w:text w:multiLine="1"/>
              </w:sdtPr>
              <w:sdtEndPr/>
              <w:sdtContent>
                <w:r w:rsidR="00CC29C2">
                  <w:rPr>
                    <w:rFonts w:ascii="Arial" w:hAnsi="Arial"/>
                    <w:b/>
                    <w:bCs/>
                    <w:noProof w:val="0"/>
                    <w:sz w:val="26"/>
                    <w:szCs w:val="26"/>
                    <w:rtl/>
                  </w:rPr>
                  <w:t>ד</w:t>
                </w:r>
                <w:r w:rsidR="009605D6">
                  <w:rPr>
                    <w:rFonts w:ascii="Arial" w:hAnsi="Arial" w:hint="cs"/>
                    <w:b/>
                    <w:bCs/>
                    <w:noProof w:val="0"/>
                    <w:sz w:val="26"/>
                    <w:szCs w:val="26"/>
                    <w:rtl/>
                  </w:rPr>
                  <w:t xml:space="preserve">. </w:t>
                </w:r>
                <w:r w:rsidR="00CC29C2">
                  <w:rPr>
                    <w:rFonts w:ascii="Arial" w:hAnsi="Arial"/>
                    <w:b/>
                    <w:bCs/>
                    <w:noProof w:val="0"/>
                    <w:sz w:val="26"/>
                    <w:szCs w:val="26"/>
                    <w:rtl/>
                  </w:rPr>
                  <w:t>צ</w:t>
                </w:r>
                <w:r w:rsidR="009605D6">
                  <w:rPr>
                    <w:rFonts w:hint="cs"/>
                    <w:rtl/>
                  </w:rPr>
                  <w:t>.</w:t>
                </w:r>
              </w:sdtContent>
            </w:sdt>
            <w:r w:rsidR="00011212">
              <w:rPr>
                <w:rFonts w:ascii="Arial" w:hAnsi="Arial" w:hint="cs"/>
                <w:b/>
                <w:bCs/>
                <w:noProof w:val="0"/>
                <w:sz w:val="26"/>
                <w:szCs w:val="26"/>
                <w:rtl/>
              </w:rPr>
              <w:t xml:space="preserve"> </w:t>
            </w:r>
          </w:p>
          <w:p w:rsidR="009605D6" w:rsidRPr="009605D6" w:rsidRDefault="009605D6" w:rsidP="009605D6">
            <w:pPr>
              <w:rPr>
                <w:noProof w:val="0"/>
                <w:sz w:val="26"/>
                <w:szCs w:val="26"/>
              </w:rPr>
            </w:pPr>
            <w:r w:rsidRPr="009605D6">
              <w:rPr>
                <w:rFonts w:hint="cs"/>
                <w:noProof w:val="0"/>
                <w:sz w:val="26"/>
                <w:szCs w:val="26"/>
                <w:rtl/>
              </w:rPr>
              <w:t>ע"י ב"כ עו"ד מירי ברוך</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9014D0" w:rsidP="00283183">
            <w:pPr>
              <w:rPr>
                <w:rFonts w:ascii="Arial" w:hAnsi="Arial"/>
                <w:b/>
                <w:bCs/>
                <w:noProof w:val="0"/>
                <w:sz w:val="26"/>
                <w:szCs w:val="26"/>
              </w:rPr>
            </w:pPr>
            <w:sdt>
              <w:sdtPr>
                <w:rPr>
                  <w:rtl/>
                </w:rPr>
                <w:alias w:val="1184"/>
                <w:tag w:val="1184"/>
                <w:id w:val="385841288"/>
                <w:text w:multiLine="1"/>
              </w:sdtPr>
              <w:sdtEndPr/>
              <w:sdtContent>
                <w:r w:rsidR="00283183">
                  <w:rPr>
                    <w:rFonts w:ascii="Arial" w:hAnsi="Arial" w:hint="cs"/>
                    <w:b/>
                    <w:bCs/>
                    <w:noProof w:val="0"/>
                    <w:sz w:val="26"/>
                    <w:szCs w:val="26"/>
                    <w:rtl/>
                  </w:rPr>
                  <w:t>משיב</w:t>
                </w:r>
              </w:sdtContent>
            </w:sdt>
          </w:p>
        </w:tc>
        <w:tc>
          <w:tcPr>
            <w:tcW w:w="5571" w:type="dxa"/>
          </w:tcPr>
          <w:p w:rsidR="002914D6" w:rsidRDefault="002914D6">
            <w:pPr>
              <w:rPr>
                <w:rFonts w:ascii="Arial" w:hAnsi="Arial"/>
                <w:b/>
                <w:bCs/>
                <w:noProof w:val="0"/>
                <w:sz w:val="26"/>
                <w:szCs w:val="26"/>
                <w:rtl/>
              </w:rPr>
            </w:pPr>
          </w:p>
          <w:p w:rsidR="002914D6" w:rsidRDefault="009014D0" w:rsidP="009605D6">
            <w:pPr>
              <w:rPr>
                <w:b/>
                <w:bCs/>
                <w:noProof w:val="0"/>
                <w:sz w:val="26"/>
                <w:szCs w:val="26"/>
                <w:rtl/>
              </w:rPr>
            </w:pPr>
            <w:sdt>
              <w:sdtPr>
                <w:rPr>
                  <w:rtl/>
                </w:rPr>
                <w:alias w:val="1486"/>
                <w:tag w:val="1486"/>
                <w:id w:val="-1219885928"/>
                <w:text w:multiLine="1"/>
              </w:sdtPr>
              <w:sdtEndPr/>
              <w:sdtContent>
                <w:r w:rsidR="00CC29C2">
                  <w:rPr>
                    <w:rFonts w:ascii="Arial" w:hAnsi="Arial"/>
                    <w:b/>
                    <w:bCs/>
                    <w:noProof w:val="0"/>
                    <w:sz w:val="26"/>
                    <w:szCs w:val="26"/>
                    <w:rtl/>
                  </w:rPr>
                  <w:t>ד</w:t>
                </w:r>
                <w:r w:rsidR="009605D6">
                  <w:rPr>
                    <w:rFonts w:ascii="Arial" w:hAnsi="Arial" w:hint="cs"/>
                    <w:b/>
                    <w:bCs/>
                    <w:noProof w:val="0"/>
                    <w:sz w:val="26"/>
                    <w:szCs w:val="26"/>
                    <w:rtl/>
                  </w:rPr>
                  <w:t>.</w:t>
                </w:r>
                <w:r w:rsidR="00CC29C2">
                  <w:rPr>
                    <w:rFonts w:ascii="Arial" w:hAnsi="Arial"/>
                    <w:b/>
                    <w:bCs/>
                    <w:noProof w:val="0"/>
                    <w:sz w:val="26"/>
                    <w:szCs w:val="26"/>
                    <w:rtl/>
                  </w:rPr>
                  <w:t xml:space="preserve"> צ</w:t>
                </w:r>
                <w:r w:rsidR="009605D6">
                  <w:rPr>
                    <w:rFonts w:hint="cs"/>
                    <w:rtl/>
                  </w:rPr>
                  <w:t>.</w:t>
                </w:r>
              </w:sdtContent>
            </w:sdt>
            <w:r w:rsidR="00011212">
              <w:rPr>
                <w:rFonts w:ascii="Arial" w:hAnsi="Arial" w:hint="cs"/>
                <w:b/>
                <w:bCs/>
                <w:noProof w:val="0"/>
                <w:sz w:val="26"/>
                <w:szCs w:val="26"/>
                <w:rtl/>
              </w:rPr>
              <w:t xml:space="preserve"> </w:t>
            </w:r>
          </w:p>
          <w:p w:rsidR="009605D6" w:rsidRPr="009605D6" w:rsidRDefault="009605D6" w:rsidP="009605D6">
            <w:pPr>
              <w:rPr>
                <w:noProof w:val="0"/>
                <w:sz w:val="26"/>
                <w:szCs w:val="26"/>
                <w:rtl/>
              </w:rPr>
            </w:pPr>
            <w:r w:rsidRPr="009605D6">
              <w:rPr>
                <w:rFonts w:hint="cs"/>
                <w:noProof w:val="0"/>
                <w:sz w:val="26"/>
                <w:szCs w:val="26"/>
                <w:rtl/>
              </w:rPr>
              <w:t>ע"י ב"כ עו"ד שירה פדידה</w:t>
            </w:r>
          </w:p>
        </w:tc>
      </w:tr>
      <w:tr w:rsidR="00DA714E" w:rsidTr="00020144">
        <w:tc>
          <w:tcPr>
            <w:tcW w:w="8820" w:type="dxa"/>
            <w:gridSpan w:val="3"/>
          </w:tcPr>
          <w:p w:rsidR="009555E2" w:rsidRDefault="009555E2">
            <w:pPr>
              <w:rPr>
                <w:b/>
                <w:bCs/>
                <w:sz w:val="26"/>
                <w:szCs w:val="26"/>
              </w:rPr>
            </w:pPr>
          </w:p>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rsidRPr="00283183">
        <w:trPr>
          <w:jc w:val="center"/>
        </w:trPr>
        <w:tc>
          <w:tcPr>
            <w:tcW w:w="8820" w:type="dxa"/>
          </w:tcPr>
          <w:p w:rsidR="002914D6" w:rsidRPr="00283183" w:rsidRDefault="002914D6">
            <w:pPr>
              <w:bidi w:val="0"/>
              <w:jc w:val="center"/>
              <w:rPr>
                <w:rFonts w:ascii="Arial" w:hAnsi="Arial"/>
                <w:b/>
                <w:bCs/>
                <w:i/>
                <w:iCs/>
                <w:noProof w:val="0"/>
                <w:sz w:val="36"/>
                <w:szCs w:val="36"/>
              </w:rPr>
            </w:pPr>
          </w:p>
          <w:p w:rsidR="002914D6" w:rsidRPr="00283183" w:rsidRDefault="00530E94">
            <w:pPr>
              <w:bidi w:val="0"/>
              <w:jc w:val="center"/>
              <w:rPr>
                <w:rFonts w:ascii="Arial" w:hAnsi="Arial"/>
                <w:b/>
                <w:bCs/>
                <w:i/>
                <w:iCs/>
                <w:noProof w:val="0"/>
                <w:sz w:val="36"/>
                <w:szCs w:val="36"/>
                <w:u w:val="single"/>
              </w:rPr>
            </w:pPr>
            <w:r w:rsidRPr="00283183">
              <w:rPr>
                <w:rFonts w:ascii="Arial" w:hAnsi="Arial" w:hint="cs"/>
                <w:b/>
                <w:bCs/>
                <w:i/>
                <w:iCs/>
                <w:noProof w:val="0"/>
                <w:sz w:val="36"/>
                <w:szCs w:val="36"/>
                <w:u w:val="single"/>
                <w:rtl/>
              </w:rPr>
              <w:t>החלטה</w:t>
            </w:r>
          </w:p>
        </w:tc>
      </w:tr>
    </w:tbl>
    <w:p w:rsidR="00283183" w:rsidRDefault="00283183" w:rsidP="00283183">
      <w:pPr>
        <w:spacing w:line="360" w:lineRule="auto"/>
        <w:jc w:val="both"/>
        <w:rPr>
          <w:rFonts w:ascii="David" w:hAnsi="David"/>
          <w:rtl/>
        </w:rPr>
      </w:pPr>
    </w:p>
    <w:p w:rsidR="00283183" w:rsidRDefault="00283183" w:rsidP="00283183">
      <w:pPr>
        <w:spacing w:line="360" w:lineRule="auto"/>
        <w:jc w:val="both"/>
        <w:rPr>
          <w:rFonts w:ascii="David" w:hAnsi="David"/>
          <w:noProof w:val="0"/>
        </w:rPr>
      </w:pPr>
      <w:r>
        <w:rPr>
          <w:rFonts w:ascii="David" w:hAnsi="David"/>
          <w:rtl/>
        </w:rPr>
        <w:t>לפניי בקשה לפסיקת מזונות אישה זמניים (להלן: "</w:t>
      </w:r>
      <w:r>
        <w:rPr>
          <w:rFonts w:ascii="David" w:hAnsi="David"/>
          <w:b/>
          <w:bCs/>
          <w:rtl/>
        </w:rPr>
        <w:t>הבקשה</w:t>
      </w:r>
      <w:r>
        <w:rPr>
          <w:rFonts w:ascii="David" w:hAnsi="David"/>
          <w:rtl/>
        </w:rPr>
        <w:t>").</w:t>
      </w:r>
    </w:p>
    <w:p w:rsidR="00283183" w:rsidRDefault="00283183" w:rsidP="00283183">
      <w:pPr>
        <w:spacing w:line="360" w:lineRule="auto"/>
        <w:jc w:val="both"/>
        <w:rPr>
          <w:rFonts w:ascii="David" w:hAnsi="David"/>
          <w:rtl/>
        </w:rPr>
      </w:pPr>
    </w:p>
    <w:p w:rsidR="00283183" w:rsidRDefault="00283183" w:rsidP="00283183">
      <w:pPr>
        <w:spacing w:line="360" w:lineRule="auto"/>
        <w:jc w:val="both"/>
        <w:rPr>
          <w:rFonts w:ascii="David" w:hAnsi="David"/>
          <w:b/>
          <w:bCs/>
          <w:u w:val="single"/>
          <w:rtl/>
        </w:rPr>
      </w:pPr>
      <w:r>
        <w:rPr>
          <w:rFonts w:ascii="David" w:hAnsi="David"/>
          <w:b/>
          <w:bCs/>
          <w:u w:val="single"/>
          <w:rtl/>
        </w:rPr>
        <w:t>רקע עובדתי רלוונטי</w:t>
      </w:r>
    </w:p>
    <w:p w:rsidR="00283183" w:rsidRDefault="00283183" w:rsidP="00283183">
      <w:pPr>
        <w:spacing w:line="360" w:lineRule="auto"/>
        <w:jc w:val="both"/>
        <w:rPr>
          <w:rFonts w:ascii="David" w:hAnsi="David"/>
          <w:rtl/>
        </w:rPr>
      </w:pPr>
    </w:p>
    <w:p w:rsidR="00283183" w:rsidRDefault="00283183" w:rsidP="003C03F7">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המבקשת והמשיב (להלן: "</w:t>
      </w:r>
      <w:r>
        <w:rPr>
          <w:rFonts w:ascii="David" w:hAnsi="David" w:cs="David"/>
          <w:b/>
          <w:bCs/>
          <w:sz w:val="24"/>
          <w:szCs w:val="24"/>
          <w:rtl/>
        </w:rPr>
        <w:t>הצדדים</w:t>
      </w:r>
      <w:r>
        <w:rPr>
          <w:rFonts w:ascii="David" w:hAnsi="David" w:cs="David"/>
          <w:sz w:val="24"/>
          <w:szCs w:val="24"/>
          <w:rtl/>
        </w:rPr>
        <w:t>") נישאו זל"ז כדמו"י ביום 18.2.</w:t>
      </w:r>
      <w:r w:rsidR="003C03F7">
        <w:rPr>
          <w:rFonts w:ascii="David" w:hAnsi="David" w:cs="David" w:hint="cs"/>
          <w:sz w:val="24"/>
          <w:szCs w:val="24"/>
          <w:rtl/>
        </w:rPr>
        <w:t>15</w:t>
      </w:r>
      <w:r>
        <w:rPr>
          <w:rFonts w:ascii="David" w:hAnsi="David" w:cs="David"/>
          <w:sz w:val="24"/>
          <w:szCs w:val="24"/>
          <w:rtl/>
        </w:rPr>
        <w:t>.</w:t>
      </w:r>
    </w:p>
    <w:p w:rsidR="00283183" w:rsidRDefault="00283183" w:rsidP="00283183">
      <w:pPr>
        <w:spacing w:line="360" w:lineRule="auto"/>
        <w:jc w:val="both"/>
        <w:rPr>
          <w:rFonts w:ascii="David" w:hAnsi="David"/>
        </w:rPr>
      </w:pPr>
    </w:p>
    <w:p w:rsidR="00283183" w:rsidRDefault="00283183" w:rsidP="00283183">
      <w:pPr>
        <w:pStyle w:val="ae"/>
        <w:numPr>
          <w:ilvl w:val="0"/>
          <w:numId w:val="1"/>
        </w:numPr>
        <w:spacing w:after="0" w:line="360" w:lineRule="auto"/>
        <w:jc w:val="both"/>
        <w:rPr>
          <w:rFonts w:ascii="David" w:hAnsi="David" w:cs="David"/>
          <w:sz w:val="24"/>
          <w:szCs w:val="24"/>
        </w:rPr>
      </w:pPr>
      <w:r>
        <w:rPr>
          <w:rFonts w:ascii="David" w:hAnsi="David" w:cs="David"/>
          <w:sz w:val="24"/>
          <w:szCs w:val="24"/>
          <w:rtl/>
        </w:rPr>
        <w:t>כנובע מקשר הנישואין, נולדו לצדדים 3 ילדים משותפים ("</w:t>
      </w:r>
      <w:r>
        <w:rPr>
          <w:rFonts w:ascii="David" w:hAnsi="David" w:cs="David"/>
          <w:b/>
          <w:bCs/>
          <w:sz w:val="24"/>
          <w:szCs w:val="24"/>
          <w:rtl/>
        </w:rPr>
        <w:t>הקטינים</w:t>
      </w:r>
      <w:r>
        <w:rPr>
          <w:rFonts w:ascii="David" w:hAnsi="David" w:cs="David"/>
          <w:sz w:val="24"/>
          <w:szCs w:val="24"/>
          <w:rtl/>
        </w:rPr>
        <w:t>").</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בעקבות הסכסוך שפרץ בין הצדדים, נפתחו מספר הליכים משפטיים, ביניהם הליך משפטי זה, שעניינו מזונות אישה.</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חרף פרוץ הסכסוך, הצדדים והקטינים מתגוררים תחת קורת גת אחת, בדירה שהייתה בבעלות המשיב עובר לנישואי הצדדים.</w:t>
      </w:r>
    </w:p>
    <w:p w:rsidR="00283183" w:rsidRDefault="00283183" w:rsidP="00283183">
      <w:pPr>
        <w:pStyle w:val="ae"/>
        <w:spacing w:line="360" w:lineRule="auto"/>
        <w:jc w:val="both"/>
        <w:rPr>
          <w:rFonts w:ascii="David" w:hAnsi="David" w:cs="David"/>
          <w:sz w:val="24"/>
          <w:szCs w:val="24"/>
        </w:rPr>
      </w:pPr>
    </w:p>
    <w:p w:rsidR="00283183" w:rsidRDefault="00283183" w:rsidP="00283183">
      <w:pPr>
        <w:spacing w:line="360" w:lineRule="auto"/>
        <w:jc w:val="both"/>
        <w:rPr>
          <w:rFonts w:ascii="David" w:hAnsi="David"/>
          <w:b/>
          <w:bCs/>
          <w:u w:val="single"/>
          <w:rtl/>
        </w:rPr>
      </w:pPr>
      <w:r>
        <w:rPr>
          <w:rFonts w:ascii="David" w:hAnsi="David"/>
          <w:b/>
          <w:bCs/>
          <w:u w:val="single"/>
          <w:rtl/>
        </w:rPr>
        <w:t>עיקר טענות המבקשת</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המבקשת היא עקרת בית והמשיב הוא המפרנס היחיד במשפחה.</w:t>
      </w:r>
    </w:p>
    <w:p w:rsidR="00283183" w:rsidRDefault="00283183" w:rsidP="00283183">
      <w:pPr>
        <w:pStyle w:val="ae"/>
        <w:spacing w:after="0" w:line="360" w:lineRule="auto"/>
        <w:jc w:val="both"/>
        <w:rPr>
          <w:rFonts w:ascii="David" w:hAnsi="David" w:cs="David"/>
          <w:sz w:val="24"/>
          <w:szCs w:val="24"/>
          <w:rtl/>
        </w:rPr>
      </w:pPr>
    </w:p>
    <w:p w:rsidR="00283183" w:rsidRDefault="00283183" w:rsidP="00283183">
      <w:pPr>
        <w:pStyle w:val="ae"/>
        <w:spacing w:after="0" w:line="360" w:lineRule="auto"/>
        <w:jc w:val="both"/>
        <w:rPr>
          <w:rFonts w:ascii="David" w:hAnsi="David" w:cs="David"/>
          <w:sz w:val="24"/>
          <w:szCs w:val="24"/>
          <w:rtl/>
        </w:rPr>
      </w:pPr>
    </w:p>
    <w:p w:rsidR="00283183" w:rsidRDefault="00283183" w:rsidP="00283183">
      <w:pPr>
        <w:pStyle w:val="ae"/>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לאחר פתיחת ההליכים המשפטיים, המשיב החל להפחית את הכנסותיו ולצמצם סכומים שהפקיד לחשבון הבנק המשותף, אשר שימש את הצדדים מאז תחילת הנישואין. כעת, המשיב חדל מלהפקיד כספים לחשבון הבנק המשותף ואף ביטל את כרטיס האשראי שהיה בשימוש המבקשת. כתוצאה מכך, המבקשת נותרה ללא אמצעי מחייה.</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המשיב עורך קניות לצרכי הבית, בהתאם לרצונו בלבד והמבקשת תלויה בחסדיו של המשיב. </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המשיב הודיע למבקשת כי בכוונתו להפסיק לשלם עבור קו הטלפון שברשותה וכך פעל הלכה למעשה. המבקשת שאין לה כל הכנסה, נאלצת לבקש מאביה לשלם עבורה עבור קו הטלפון. </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המשיב הפסיק לשלם את הביטוחים הבריאותיים של המבקשת בקופת חולים.</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הכנסותיו של המשיב מסתכמות בעשרות אלפי שקלים מדי חודש. על פי שומת המס שצורפה על ידי המשיב, הכנסתו החודשית עומדת על סך של כ-25,000 ₪. בעקבות פתיחת ההליכים המשפטיים, המשיב הפחית את הכנסתו.</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למשיב נכסי מקרקעין בארץ ובחו"ל, מהם הוא מפיק הכנסות גבוהות. המשיב מבצע עסקאות בניירות ערך בסכומים משמעותיים.</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על דירת המשיב לא רובצת משכנתה ואין למשיב הוצאת מדור.</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המבקשת אינה עובדת מזה שנים, והיא נטולת הכנסה ורכוש.</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מלוא הוצאות השפחה מומנו על ידי המשיב, ויש לחייבו להמשיך ולשאת בהוצאות עבור המדור, אחזקת הרכב והוצאות רפואיות של המבקשת, כפי שנהג לעשות עד לפרוץ הסכסוך בין הצדדים.</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סך ההוצאה החודשית של המבקשת עומד על 3,960 ₪ לחודש, ויש לפסוק לידיה סך זה כ"עזרה ראשונה".</w:t>
      </w:r>
    </w:p>
    <w:p w:rsidR="00283183" w:rsidRDefault="00283183" w:rsidP="00283183">
      <w:pPr>
        <w:spacing w:line="360" w:lineRule="auto"/>
        <w:jc w:val="both"/>
        <w:rPr>
          <w:rFonts w:ascii="David" w:hAnsi="David"/>
          <w:b/>
          <w:bCs/>
          <w:u w:val="single"/>
          <w:rtl/>
        </w:rPr>
      </w:pPr>
    </w:p>
    <w:p w:rsidR="00283183" w:rsidRDefault="00283183" w:rsidP="00283183">
      <w:pPr>
        <w:spacing w:line="360" w:lineRule="auto"/>
        <w:jc w:val="both"/>
        <w:rPr>
          <w:rFonts w:ascii="David" w:hAnsi="David"/>
          <w:b/>
          <w:bCs/>
          <w:u w:val="single"/>
          <w:rtl/>
        </w:rPr>
      </w:pPr>
      <w:r>
        <w:rPr>
          <w:rFonts w:ascii="David" w:hAnsi="David"/>
          <w:b/>
          <w:bCs/>
          <w:u w:val="single"/>
          <w:rtl/>
        </w:rPr>
        <w:t>עיקר טענות המשיב</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המשיב חפץ להתגרש מהמבקשת.</w:t>
      </w:r>
    </w:p>
    <w:p w:rsidR="00283183" w:rsidRDefault="00283183" w:rsidP="00283183">
      <w:pPr>
        <w:pStyle w:val="ae"/>
        <w:spacing w:after="0"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הצדדים מתגוררים בדירת המשיב, שהייתה בבעלותו עובר לנישואי הצדדים.</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המשיב נושא בכל העלויות הכלכלה ואחזקת המדור. לאורך השנים, המשיב אחראי על עריכת הקניות בבית והוא ממשיך לעשות כן עד הלום.</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המבקשת עושה שימוש לרעה בכרטיס האשראי המשותף ומבצעת הוצאות מופרזות שמעולם לא היו נהוגות בין הצדדים. לאור זאת, המשיב ביקש מהבנק להגביל את השימוש בחשבון הבנק כך שכל פעולה תבוצע באישור חתימות של שני הצדדים. כן, כרטיסי האשראי בוטלו ביוזמת המבקשת.</w:t>
      </w:r>
    </w:p>
    <w:p w:rsidR="00283183" w:rsidRDefault="00283183" w:rsidP="00283183">
      <w:pPr>
        <w:pStyle w:val="ae"/>
        <w:spacing w:line="360" w:lineRule="auto"/>
        <w:jc w:val="both"/>
        <w:rPr>
          <w:rFonts w:ascii="David" w:hAnsi="David" w:cs="David"/>
          <w:sz w:val="24"/>
          <w:szCs w:val="24"/>
        </w:rPr>
      </w:pPr>
    </w:p>
    <w:p w:rsidR="00283183" w:rsidRDefault="00283183" w:rsidP="009605D6">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המבקשת נמנעת מלחזור למעגל העבודה. המבקשת היא </w:t>
      </w:r>
      <w:r w:rsidR="009605D6">
        <w:rPr>
          <w:rFonts w:ascii="David" w:hAnsi="David" w:cs="David"/>
          <w:sz w:val="24"/>
          <w:szCs w:val="24"/>
        </w:rPr>
        <w:t>xxxxx</w:t>
      </w:r>
      <w:r>
        <w:rPr>
          <w:rFonts w:ascii="David" w:hAnsi="David" w:cs="David"/>
          <w:sz w:val="24"/>
          <w:szCs w:val="24"/>
          <w:rtl/>
        </w:rPr>
        <w:t xml:space="preserve"> בהכשרתה והיא נמנעת מלגשת למבחן הסמכה של </w:t>
      </w:r>
      <w:r w:rsidR="009605D6">
        <w:rPr>
          <w:rFonts w:ascii="David" w:hAnsi="David" w:cs="David"/>
          <w:sz w:val="24"/>
          <w:szCs w:val="24"/>
        </w:rPr>
        <w:t>xxxxx</w:t>
      </w:r>
      <w:r>
        <w:rPr>
          <w:rFonts w:ascii="David" w:hAnsi="David" w:cs="David"/>
          <w:sz w:val="24"/>
          <w:szCs w:val="24"/>
          <w:rtl/>
        </w:rPr>
        <w:t>, כדי לא להגדיל את פוטנציאל ההשתכרות שלה. משך שנים המבקשת עבדה לפרקים ובכתב הגנה לתביעת מזונות קטינים היא טענה כי כושר ההשתכרות שלה נע בין 2,290 ₪ - 3,433 ₪, ואף צירפה אסמכתאות לכך.</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המבקשת לא הציגה כל ראיה המעידה על ניסיונותיה להשתלב מחדש במעגל העבודה. על המבקשת לפעול למציאת עבודה לאלתר.</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אין לחייב את המשיב במזונות המבקשת, בנוסף לכל ההוצאות שמשולמות על ידו.</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Pr>
      </w:pPr>
      <w:r>
        <w:rPr>
          <w:rFonts w:ascii="David" w:hAnsi="David" w:cs="David"/>
          <w:sz w:val="24"/>
          <w:szCs w:val="24"/>
          <w:rtl/>
        </w:rPr>
        <w:t>המשיב לא חייב להפקיד כספים לחשבון הבנק המשותף, מפני שהוא נושא בכל הוצאות המשפחה באופן ישיר דרך חשבון הבנק האישי שלו.</w:t>
      </w:r>
    </w:p>
    <w:p w:rsidR="00283183" w:rsidRPr="00283183" w:rsidRDefault="00283183" w:rsidP="00283183">
      <w:pPr>
        <w:pStyle w:val="ae"/>
        <w:rPr>
          <w:rFonts w:ascii="David" w:hAnsi="David" w:cs="David"/>
          <w:sz w:val="24"/>
          <w:szCs w:val="24"/>
          <w:rtl/>
        </w:rPr>
      </w:pPr>
    </w:p>
    <w:p w:rsidR="00283183" w:rsidRDefault="00283183" w:rsidP="00283183">
      <w:pPr>
        <w:pStyle w:val="ae"/>
        <w:numPr>
          <w:ilvl w:val="0"/>
          <w:numId w:val="1"/>
        </w:numPr>
        <w:spacing w:after="0" w:line="360" w:lineRule="auto"/>
        <w:jc w:val="both"/>
        <w:rPr>
          <w:rFonts w:ascii="David" w:hAnsi="David" w:cs="David"/>
          <w:sz w:val="24"/>
          <w:szCs w:val="24"/>
        </w:rPr>
      </w:pPr>
      <w:r>
        <w:rPr>
          <w:rFonts w:ascii="David" w:hAnsi="David" w:cs="David"/>
          <w:sz w:val="24"/>
          <w:szCs w:val="24"/>
          <w:rtl/>
        </w:rPr>
        <w:t>אבי המבקשת, שהינו אדם אמיד ותומך בה כלכלית, ויש להביא עובדה זו בחשבון.</w:t>
      </w:r>
    </w:p>
    <w:p w:rsidR="00283183" w:rsidRDefault="00283183" w:rsidP="00283183">
      <w:pPr>
        <w:spacing w:line="360" w:lineRule="auto"/>
        <w:jc w:val="both"/>
        <w:rPr>
          <w:rFonts w:ascii="David" w:hAnsi="David"/>
        </w:rPr>
      </w:pPr>
    </w:p>
    <w:p w:rsidR="00283183" w:rsidRDefault="00283183" w:rsidP="009605D6">
      <w:pPr>
        <w:pStyle w:val="ae"/>
        <w:numPr>
          <w:ilvl w:val="0"/>
          <w:numId w:val="1"/>
        </w:numPr>
        <w:spacing w:after="0" w:line="360" w:lineRule="auto"/>
        <w:jc w:val="both"/>
        <w:rPr>
          <w:rFonts w:ascii="David" w:hAnsi="David" w:cs="David"/>
          <w:sz w:val="24"/>
          <w:szCs w:val="24"/>
        </w:rPr>
      </w:pPr>
      <w:r>
        <w:rPr>
          <w:rFonts w:ascii="David" w:hAnsi="David" w:cs="David"/>
          <w:sz w:val="24"/>
          <w:szCs w:val="24"/>
          <w:rtl/>
        </w:rPr>
        <w:t xml:space="preserve">למשיב עוסק בתחום </w:t>
      </w:r>
      <w:r w:rsidR="009605D6">
        <w:rPr>
          <w:rFonts w:ascii="David" w:hAnsi="David" w:cs="David"/>
          <w:sz w:val="24"/>
          <w:szCs w:val="24"/>
        </w:rPr>
        <w:t>xxxxx</w:t>
      </w:r>
      <w:r>
        <w:rPr>
          <w:rFonts w:ascii="David" w:hAnsi="David" w:cs="David"/>
          <w:sz w:val="24"/>
          <w:szCs w:val="24"/>
          <w:rtl/>
        </w:rPr>
        <w:t>. במהלך ששת השנים האחרונות הכנסותיו החודשיות של המשיב עמדו על סך של 15,000 ₪ לחודש.</w:t>
      </w:r>
    </w:p>
    <w:p w:rsidR="00283183" w:rsidRDefault="00283183" w:rsidP="00283183">
      <w:pPr>
        <w:pStyle w:val="ae"/>
        <w:spacing w:line="360" w:lineRule="auto"/>
        <w:jc w:val="both"/>
        <w:rPr>
          <w:rFonts w:ascii="David" w:hAnsi="David" w:cs="David"/>
          <w:sz w:val="24"/>
          <w:szCs w:val="24"/>
        </w:rPr>
      </w:pPr>
    </w:p>
    <w:p w:rsidR="00283183" w:rsidRDefault="00283183" w:rsidP="003C03F7">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המבקשת היא אישה מורדת ועוברת על הדת, משעה שהיא מקללת, צורחת, מגדפת ומעליבה את המשיב ומאיימת כי תעליל עליו עלילות שווא כאשר תגיש נגדו תלונת שווא במשטרה.</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המבקשת יכולה לפרנס את עצמה בבחינת "מעשה ידיה".</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פסיקת מזונות תוביל לעיגון המשיב.</w:t>
      </w:r>
    </w:p>
    <w:p w:rsidR="00283183" w:rsidRDefault="00283183" w:rsidP="00283183">
      <w:pPr>
        <w:spacing w:line="360" w:lineRule="auto"/>
        <w:jc w:val="both"/>
        <w:rPr>
          <w:rFonts w:ascii="David" w:hAnsi="David"/>
          <w:b/>
          <w:bCs/>
          <w:u w:val="single"/>
          <w:rtl/>
        </w:rPr>
      </w:pPr>
      <w:r>
        <w:rPr>
          <w:rFonts w:ascii="David" w:hAnsi="David"/>
          <w:b/>
          <w:bCs/>
          <w:u w:val="single"/>
          <w:rtl/>
        </w:rPr>
        <w:lastRenderedPageBreak/>
        <w:t>הכרעה</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לאחר עיון בטענות הצדדים ובמסמכים שצורפו, הגעתי למסקנה כי דין הבקשה להתקבל.</w:t>
      </w:r>
    </w:p>
    <w:p w:rsidR="00283183" w:rsidRDefault="00283183" w:rsidP="00283183">
      <w:pPr>
        <w:pStyle w:val="ae"/>
        <w:spacing w:after="0"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Pr>
      </w:pPr>
      <w:r w:rsidRPr="00283183">
        <w:rPr>
          <w:rFonts w:ascii="David" w:hAnsi="David" w:cs="David"/>
          <w:sz w:val="24"/>
          <w:szCs w:val="24"/>
          <w:rtl/>
        </w:rPr>
        <w:t xml:space="preserve">מקור החיוב במזונות אישה בדין הישראלי מצוי </w:t>
      </w:r>
      <w:hyperlink r:id="rId8" w:history="1">
        <w:r w:rsidRPr="00283183">
          <w:rPr>
            <w:rStyle w:val="Hyperlink"/>
            <w:rFonts w:ascii="David" w:hAnsi="David" w:cs="David"/>
            <w:color w:val="auto"/>
            <w:sz w:val="24"/>
            <w:szCs w:val="24"/>
            <w:u w:val="none"/>
            <w:rtl/>
          </w:rPr>
          <w:t>בסעיף 2(א)</w:t>
        </w:r>
      </w:hyperlink>
      <w:r w:rsidRPr="00283183">
        <w:rPr>
          <w:rFonts w:ascii="David" w:hAnsi="David" w:cs="David"/>
          <w:sz w:val="24"/>
          <w:szCs w:val="24"/>
          <w:rtl/>
        </w:rPr>
        <w:t xml:space="preserve"> ל</w:t>
      </w:r>
      <w:hyperlink r:id="rId9" w:history="1">
        <w:r w:rsidRPr="00283183">
          <w:rPr>
            <w:rStyle w:val="Hyperlink"/>
            <w:rFonts w:ascii="David" w:hAnsi="David" w:cs="David"/>
            <w:color w:val="auto"/>
            <w:sz w:val="24"/>
            <w:szCs w:val="24"/>
            <w:u w:val="none"/>
            <w:rtl/>
          </w:rPr>
          <w:t>חוק לתיקון דיני משפחה (מזונות)</w:t>
        </w:r>
      </w:hyperlink>
      <w:r w:rsidRPr="00283183">
        <w:rPr>
          <w:rFonts w:ascii="David" w:hAnsi="David" w:cs="David"/>
          <w:sz w:val="24"/>
          <w:szCs w:val="24"/>
          <w:rtl/>
        </w:rPr>
        <w:t xml:space="preserve">, </w:t>
      </w:r>
      <w:r>
        <w:rPr>
          <w:rFonts w:ascii="David" w:hAnsi="David" w:cs="David"/>
          <w:sz w:val="24"/>
          <w:szCs w:val="24"/>
          <w:rtl/>
        </w:rPr>
        <w:t>התשי"ט-1959 הקובע:</w:t>
      </w:r>
    </w:p>
    <w:p w:rsidR="00283183" w:rsidRDefault="00283183" w:rsidP="00283183">
      <w:pPr>
        <w:spacing w:line="360" w:lineRule="auto"/>
        <w:jc w:val="both"/>
        <w:rPr>
          <w:rFonts w:ascii="David" w:hAnsi="David"/>
          <w:rtl/>
        </w:rPr>
      </w:pPr>
    </w:p>
    <w:p w:rsidR="00283183" w:rsidRDefault="00283183" w:rsidP="00283183">
      <w:pPr>
        <w:spacing w:line="360" w:lineRule="auto"/>
        <w:ind w:left="1133" w:right="1134"/>
        <w:jc w:val="both"/>
        <w:rPr>
          <w:rFonts w:ascii="David" w:hAnsi="David"/>
          <w:b/>
          <w:bCs/>
          <w:rtl/>
        </w:rPr>
      </w:pPr>
      <w:r>
        <w:rPr>
          <w:rFonts w:ascii="David" w:hAnsi="David"/>
          <w:b/>
          <w:bCs/>
          <w:rtl/>
        </w:rPr>
        <w:t>"אדם חייב במזונות בן-זוגו לפי הוראות הדין האישי החל עליו, והוראות חוק זה לא יחולו על מזונות אלה".</w:t>
      </w:r>
      <w:r>
        <w:rPr>
          <w:rFonts w:ascii="David" w:hAnsi="David"/>
          <w:b/>
          <w:bCs/>
          <w:rtl/>
        </w:rPr>
        <w:tab/>
      </w:r>
    </w:p>
    <w:p w:rsidR="00283183" w:rsidRDefault="00283183" w:rsidP="00283183">
      <w:pPr>
        <w:spacing w:line="360" w:lineRule="auto"/>
        <w:jc w:val="both"/>
        <w:rPr>
          <w:rFonts w:ascii="David" w:hAnsi="David"/>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על פי הדין העברי, הזכות למזונות אישה נובעת מעצם קשר הנישואין, </w:t>
      </w:r>
      <w:r>
        <w:rPr>
          <w:rFonts w:ascii="David" w:hAnsi="David" w:cs="David"/>
          <w:b/>
          <w:bCs/>
          <w:sz w:val="24"/>
          <w:szCs w:val="24"/>
          <w:rtl/>
        </w:rPr>
        <w:t>ראו</w:t>
      </w:r>
      <w:r>
        <w:rPr>
          <w:rFonts w:ascii="David" w:hAnsi="David" w:cs="David"/>
          <w:sz w:val="24"/>
          <w:szCs w:val="24"/>
          <w:rtl/>
        </w:rPr>
        <w:t xml:space="preserve">: תלה"מ 62382-01-20 </w:t>
      </w:r>
      <w:r>
        <w:rPr>
          <w:rFonts w:ascii="David" w:hAnsi="David" w:cs="David"/>
          <w:b/>
          <w:bCs/>
          <w:sz w:val="24"/>
          <w:szCs w:val="24"/>
          <w:rtl/>
        </w:rPr>
        <w:t>ט. נ' ט.</w:t>
      </w:r>
      <w:r>
        <w:rPr>
          <w:rFonts w:ascii="David" w:hAnsi="David" w:cs="David"/>
          <w:sz w:val="24"/>
          <w:szCs w:val="24"/>
          <w:rtl/>
        </w:rPr>
        <w:t xml:space="preserve"> (6.1.2021)</w:t>
      </w:r>
    </w:p>
    <w:p w:rsidR="00283183" w:rsidRDefault="00283183" w:rsidP="00283183">
      <w:pPr>
        <w:spacing w:line="360" w:lineRule="auto"/>
        <w:jc w:val="both"/>
        <w:rPr>
          <w:rFonts w:ascii="David" w:hAnsi="David"/>
        </w:rPr>
      </w:pPr>
    </w:p>
    <w:p w:rsidR="00283183" w:rsidRPr="00283183" w:rsidRDefault="00283183" w:rsidP="00283183">
      <w:pPr>
        <w:pStyle w:val="ae"/>
        <w:numPr>
          <w:ilvl w:val="0"/>
          <w:numId w:val="1"/>
        </w:numPr>
        <w:spacing w:after="0" w:line="360" w:lineRule="auto"/>
        <w:jc w:val="both"/>
        <w:rPr>
          <w:rFonts w:ascii="David" w:hAnsi="David" w:cs="David"/>
          <w:sz w:val="24"/>
          <w:szCs w:val="24"/>
          <w:rtl/>
        </w:rPr>
      </w:pPr>
      <w:r w:rsidRPr="00283183">
        <w:rPr>
          <w:rFonts w:ascii="David" w:hAnsi="David" w:cs="David"/>
          <w:sz w:val="24"/>
          <w:szCs w:val="24"/>
          <w:rtl/>
        </w:rPr>
        <w:t xml:space="preserve">הדין החל על הצדדים שלפניי הוא הדין העברי, לפיו חיוב הבעל במזונות אשתו נוצר ביום הנישואין ותם עם סיומם, </w:t>
      </w:r>
      <w:r w:rsidRPr="00283183">
        <w:rPr>
          <w:rFonts w:ascii="David" w:hAnsi="David" w:cs="David"/>
          <w:b/>
          <w:bCs/>
          <w:sz w:val="24"/>
          <w:szCs w:val="24"/>
          <w:rtl/>
        </w:rPr>
        <w:t>ראו</w:t>
      </w:r>
      <w:r w:rsidRPr="00283183">
        <w:rPr>
          <w:rFonts w:ascii="David" w:hAnsi="David" w:cs="David"/>
          <w:sz w:val="24"/>
          <w:szCs w:val="24"/>
          <w:rtl/>
        </w:rPr>
        <w:t xml:space="preserve">: </w:t>
      </w:r>
      <w:hyperlink r:id="rId10" w:history="1">
        <w:r w:rsidRPr="00283183">
          <w:rPr>
            <w:rStyle w:val="Hyperlink"/>
            <w:rFonts w:ascii="David" w:hAnsi="David" w:cs="David"/>
            <w:color w:val="auto"/>
            <w:sz w:val="24"/>
            <w:szCs w:val="24"/>
            <w:u w:val="none"/>
            <w:rtl/>
          </w:rPr>
          <w:t>ע"א 87/49</w:t>
        </w:r>
      </w:hyperlink>
      <w:r w:rsidRPr="00283183">
        <w:rPr>
          <w:rFonts w:ascii="David" w:hAnsi="David" w:cs="David"/>
          <w:sz w:val="24"/>
          <w:szCs w:val="24"/>
          <w:rtl/>
        </w:rPr>
        <w:t xml:space="preserve"> </w:t>
      </w:r>
      <w:r w:rsidRPr="00283183">
        <w:rPr>
          <w:rFonts w:ascii="David" w:hAnsi="David" w:cs="David" w:hint="cs"/>
          <w:b/>
          <w:bCs/>
          <w:sz w:val="24"/>
          <w:szCs w:val="24"/>
          <w:rtl/>
        </w:rPr>
        <w:t xml:space="preserve">לוין נ' לוין </w:t>
      </w:r>
      <w:r w:rsidRPr="00283183">
        <w:rPr>
          <w:rFonts w:ascii="David" w:hAnsi="David" w:cs="David" w:hint="cs"/>
          <w:sz w:val="24"/>
          <w:szCs w:val="24"/>
          <w:rtl/>
        </w:rPr>
        <w:t xml:space="preserve">פ"ד ה' 921, 935 (1951); </w:t>
      </w:r>
      <w:hyperlink r:id="rId11" w:history="1">
        <w:r w:rsidRPr="00283183">
          <w:rPr>
            <w:rStyle w:val="Hyperlink"/>
            <w:rFonts w:ascii="David" w:hAnsi="David" w:cs="David"/>
            <w:color w:val="auto"/>
            <w:sz w:val="24"/>
            <w:szCs w:val="24"/>
            <w:u w:val="none"/>
            <w:rtl/>
          </w:rPr>
          <w:t>ע"א 560/82</w:t>
        </w:r>
      </w:hyperlink>
      <w:r w:rsidRPr="00283183">
        <w:rPr>
          <w:rFonts w:ascii="David" w:hAnsi="David" w:cs="David"/>
          <w:sz w:val="24"/>
          <w:szCs w:val="24"/>
          <w:rtl/>
        </w:rPr>
        <w:t xml:space="preserve"> </w:t>
      </w:r>
      <w:r w:rsidRPr="00283183">
        <w:rPr>
          <w:rFonts w:ascii="David" w:hAnsi="David" w:cs="David" w:hint="cs"/>
          <w:b/>
          <w:bCs/>
          <w:sz w:val="24"/>
          <w:szCs w:val="24"/>
          <w:rtl/>
        </w:rPr>
        <w:t>פלונית נ' פלוני</w:t>
      </w:r>
      <w:r w:rsidRPr="00283183">
        <w:rPr>
          <w:rFonts w:ascii="David" w:hAnsi="David" w:cs="David" w:hint="cs"/>
          <w:sz w:val="24"/>
          <w:szCs w:val="24"/>
          <w:rtl/>
        </w:rPr>
        <w:t xml:space="preserve"> פ"ד לח (3) 744 (1984); </w:t>
      </w:r>
      <w:hyperlink r:id="rId12" w:history="1">
        <w:r w:rsidRPr="00283183">
          <w:rPr>
            <w:rStyle w:val="Hyperlink"/>
            <w:rFonts w:ascii="David" w:hAnsi="David" w:cs="David"/>
            <w:color w:val="auto"/>
            <w:sz w:val="24"/>
            <w:szCs w:val="24"/>
            <w:u w:val="none"/>
            <w:rtl/>
          </w:rPr>
          <w:t>בר"ע (י-ם) 1081/05</w:t>
        </w:r>
      </w:hyperlink>
      <w:r w:rsidRPr="00283183">
        <w:rPr>
          <w:rFonts w:ascii="David" w:hAnsi="David" w:cs="David"/>
          <w:sz w:val="24"/>
          <w:szCs w:val="24"/>
          <w:rtl/>
        </w:rPr>
        <w:t xml:space="preserve"> </w:t>
      </w:r>
      <w:r w:rsidRPr="00283183">
        <w:rPr>
          <w:rFonts w:ascii="David" w:hAnsi="David" w:cs="David" w:hint="cs"/>
          <w:b/>
          <w:bCs/>
          <w:sz w:val="24"/>
          <w:szCs w:val="24"/>
          <w:rtl/>
        </w:rPr>
        <w:t>פלוני נ' אלמונית</w:t>
      </w:r>
      <w:r w:rsidRPr="00283183">
        <w:rPr>
          <w:rFonts w:ascii="David" w:hAnsi="David" w:cs="David" w:hint="cs"/>
          <w:sz w:val="24"/>
          <w:szCs w:val="24"/>
          <w:rtl/>
        </w:rPr>
        <w:t xml:space="preserve"> (8.8.2006) (להלן: "</w:t>
      </w:r>
      <w:r w:rsidRPr="00283183">
        <w:rPr>
          <w:rFonts w:ascii="David" w:hAnsi="David" w:cs="David" w:hint="cs"/>
          <w:b/>
          <w:bCs/>
          <w:sz w:val="24"/>
          <w:szCs w:val="24"/>
          <w:rtl/>
        </w:rPr>
        <w:t>עניין פלוני</w:t>
      </w:r>
      <w:r w:rsidRPr="00283183">
        <w:rPr>
          <w:rFonts w:ascii="David" w:hAnsi="David" w:cs="David" w:hint="cs"/>
          <w:sz w:val="24"/>
          <w:szCs w:val="24"/>
          <w:rtl/>
        </w:rPr>
        <w:t>").</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הצדדים טרם התגרשו זמ"ז ובמישור העקרוני, המבקשת זכאית למזונות אישה. </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נשאלת, אפוא, השאלה, האם המבקשת זכאית למזונות אישה זמניים.</w:t>
      </w:r>
    </w:p>
    <w:p w:rsidR="00283183" w:rsidRDefault="00283183" w:rsidP="00283183">
      <w:pPr>
        <w:pStyle w:val="ae"/>
        <w:spacing w:line="360" w:lineRule="auto"/>
        <w:jc w:val="both"/>
        <w:rPr>
          <w:rFonts w:ascii="David" w:hAnsi="David" w:cs="David"/>
          <w:sz w:val="24"/>
          <w:szCs w:val="24"/>
        </w:rPr>
      </w:pPr>
    </w:p>
    <w:p w:rsidR="00283183" w:rsidRP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מזונות זמניים הינם ביטוי אחד מני רבים לסעד זמני,</w:t>
      </w:r>
      <w:r>
        <w:rPr>
          <w:rFonts w:ascii="David" w:hAnsi="David" w:cs="David"/>
          <w:b/>
          <w:bCs/>
          <w:sz w:val="24"/>
          <w:szCs w:val="24"/>
          <w:rtl/>
        </w:rPr>
        <w:t xml:space="preserve"> ראו</w:t>
      </w:r>
      <w:r>
        <w:rPr>
          <w:rFonts w:ascii="David" w:hAnsi="David" w:cs="David"/>
          <w:sz w:val="24"/>
          <w:szCs w:val="24"/>
          <w:rtl/>
        </w:rPr>
        <w:t xml:space="preserve">: רמ"ש 9585-10-21 </w:t>
      </w:r>
      <w:r>
        <w:rPr>
          <w:rFonts w:ascii="David" w:hAnsi="David" w:cs="David"/>
          <w:b/>
          <w:bCs/>
          <w:sz w:val="24"/>
          <w:szCs w:val="24"/>
          <w:rtl/>
        </w:rPr>
        <w:t>ר. נ' ר</w:t>
      </w:r>
      <w:r>
        <w:rPr>
          <w:rFonts w:ascii="David" w:hAnsi="David" w:cs="David"/>
          <w:sz w:val="24"/>
          <w:szCs w:val="24"/>
          <w:rtl/>
        </w:rPr>
        <w:t xml:space="preserve">. (10.11.2021) וטיבם שמירה על המצב הקיים כפי שהיה ערב הקרע בין הצדדים, </w:t>
      </w:r>
      <w:r>
        <w:rPr>
          <w:rFonts w:ascii="David" w:hAnsi="David" w:cs="David"/>
          <w:b/>
          <w:bCs/>
          <w:sz w:val="24"/>
          <w:szCs w:val="24"/>
          <w:rtl/>
        </w:rPr>
        <w:t>ראו</w:t>
      </w:r>
      <w:r>
        <w:rPr>
          <w:rFonts w:ascii="David" w:hAnsi="David" w:cs="David"/>
          <w:sz w:val="24"/>
          <w:szCs w:val="24"/>
          <w:rtl/>
        </w:rPr>
        <w:t xml:space="preserve">: </w:t>
      </w:r>
      <w:r>
        <w:rPr>
          <w:rFonts w:ascii="David" w:hAnsi="David" w:cs="David"/>
          <w:b/>
          <w:bCs/>
          <w:sz w:val="24"/>
          <w:szCs w:val="24"/>
          <w:rtl/>
        </w:rPr>
        <w:t>עניין לפוני</w:t>
      </w:r>
      <w:r>
        <w:rPr>
          <w:rFonts w:ascii="David" w:hAnsi="David" w:cs="David"/>
          <w:sz w:val="24"/>
          <w:szCs w:val="24"/>
          <w:rtl/>
        </w:rPr>
        <w:t xml:space="preserve">; תלה"מ 62382-01-20 </w:t>
      </w:r>
      <w:r>
        <w:rPr>
          <w:rFonts w:ascii="David" w:hAnsi="David" w:cs="David"/>
          <w:b/>
          <w:bCs/>
          <w:sz w:val="24"/>
          <w:szCs w:val="24"/>
          <w:rtl/>
        </w:rPr>
        <w:t>ט. נ' ט.</w:t>
      </w:r>
      <w:r>
        <w:rPr>
          <w:rFonts w:ascii="David" w:hAnsi="David" w:cs="David"/>
          <w:sz w:val="24"/>
          <w:szCs w:val="24"/>
          <w:rtl/>
        </w:rPr>
        <w:t xml:space="preserve"> (6.2.21). מזונות אלה מהווים "סיוע ראשוני" </w:t>
      </w:r>
      <w:r>
        <w:rPr>
          <w:rFonts w:ascii="David" w:hAnsi="David" w:cs="David"/>
          <w:b/>
          <w:bCs/>
          <w:sz w:val="24"/>
          <w:szCs w:val="24"/>
          <w:rtl/>
        </w:rPr>
        <w:t>ראו</w:t>
      </w:r>
      <w:r>
        <w:rPr>
          <w:rFonts w:ascii="David" w:hAnsi="David" w:cs="David"/>
          <w:sz w:val="24"/>
          <w:szCs w:val="24"/>
          <w:rtl/>
        </w:rPr>
        <w:t xml:space="preserve">: רמ"ש 51744-03-17 </w:t>
      </w:r>
      <w:r>
        <w:rPr>
          <w:rFonts w:ascii="David" w:hAnsi="David" w:cs="David"/>
          <w:b/>
          <w:bCs/>
          <w:sz w:val="24"/>
          <w:szCs w:val="24"/>
          <w:rtl/>
        </w:rPr>
        <w:t>פלוני נ' פלונית</w:t>
      </w:r>
      <w:r>
        <w:rPr>
          <w:rFonts w:ascii="David" w:hAnsi="David" w:cs="David"/>
          <w:sz w:val="24"/>
          <w:szCs w:val="24"/>
          <w:rtl/>
        </w:rPr>
        <w:t xml:space="preserve"> (26.3.2017) שמטרתו להבטיח את המשך כיסוי צרכי המבקשת, </w:t>
      </w:r>
      <w:r>
        <w:rPr>
          <w:rFonts w:ascii="David" w:hAnsi="David" w:cs="David"/>
          <w:b/>
          <w:bCs/>
          <w:sz w:val="24"/>
          <w:szCs w:val="24"/>
          <w:rtl/>
        </w:rPr>
        <w:t>השוו</w:t>
      </w:r>
      <w:r>
        <w:rPr>
          <w:rFonts w:ascii="David" w:hAnsi="David" w:cs="David"/>
          <w:sz w:val="24"/>
          <w:szCs w:val="24"/>
          <w:rtl/>
        </w:rPr>
        <w:t xml:space="preserve">: </w:t>
      </w:r>
      <w:hyperlink r:id="rId13" w:history="1">
        <w:r w:rsidRPr="00283183">
          <w:rPr>
            <w:rStyle w:val="Hyperlink"/>
            <w:rFonts w:ascii="David" w:hAnsi="David" w:cs="David"/>
            <w:color w:val="auto"/>
            <w:sz w:val="24"/>
            <w:szCs w:val="24"/>
            <w:u w:val="none"/>
            <w:rtl/>
          </w:rPr>
          <w:t>רמ"ש (ת"א) 34750-02-13</w:t>
        </w:r>
      </w:hyperlink>
      <w:r w:rsidRPr="00283183">
        <w:rPr>
          <w:rFonts w:ascii="David" w:hAnsi="David" w:cs="David"/>
          <w:sz w:val="24"/>
          <w:szCs w:val="24"/>
          <w:rtl/>
        </w:rPr>
        <w:t xml:space="preserve"> </w:t>
      </w:r>
      <w:r w:rsidRPr="00283183">
        <w:rPr>
          <w:rFonts w:ascii="David" w:hAnsi="David" w:cs="David" w:hint="cs"/>
          <w:b/>
          <w:bCs/>
          <w:sz w:val="24"/>
          <w:szCs w:val="24"/>
          <w:rtl/>
        </w:rPr>
        <w:t>ג.ג. נ' ח.ג</w:t>
      </w:r>
      <w:r w:rsidRPr="00283183">
        <w:rPr>
          <w:rFonts w:ascii="David" w:hAnsi="David" w:cs="David" w:hint="cs"/>
          <w:sz w:val="24"/>
          <w:szCs w:val="24"/>
          <w:rtl/>
        </w:rPr>
        <w:t xml:space="preserve"> (17.4.2013); תלה"מ 6180-08-24 </w:t>
      </w:r>
      <w:r w:rsidRPr="00283183">
        <w:rPr>
          <w:rFonts w:ascii="David" w:hAnsi="David" w:cs="David" w:hint="cs"/>
          <w:b/>
          <w:bCs/>
          <w:sz w:val="24"/>
          <w:szCs w:val="24"/>
          <w:rtl/>
        </w:rPr>
        <w:t>ס. נ' ל.</w:t>
      </w:r>
      <w:r w:rsidRPr="00283183">
        <w:rPr>
          <w:rFonts w:ascii="David" w:hAnsi="David" w:cs="David" w:hint="cs"/>
          <w:sz w:val="24"/>
          <w:szCs w:val="24"/>
          <w:rtl/>
        </w:rPr>
        <w:t xml:space="preserve"> (26.9.2024).</w:t>
      </w:r>
    </w:p>
    <w:p w:rsidR="00283183" w:rsidRDefault="00283183" w:rsidP="00283183">
      <w:pPr>
        <w:spacing w:line="360" w:lineRule="auto"/>
        <w:jc w:val="both"/>
        <w:rPr>
          <w:rFonts w:ascii="David" w:hAnsi="David"/>
        </w:rPr>
      </w:pPr>
    </w:p>
    <w:p w:rsidR="00283183" w:rsidRDefault="00283183" w:rsidP="00283183">
      <w:pPr>
        <w:pStyle w:val="ae"/>
        <w:numPr>
          <w:ilvl w:val="0"/>
          <w:numId w:val="1"/>
        </w:numPr>
        <w:spacing w:after="0" w:line="360" w:lineRule="auto"/>
        <w:jc w:val="both"/>
        <w:rPr>
          <w:rFonts w:ascii="David" w:hAnsi="David" w:cs="David"/>
          <w:sz w:val="24"/>
          <w:szCs w:val="24"/>
        </w:rPr>
      </w:pPr>
      <w:r>
        <w:rPr>
          <w:rFonts w:ascii="David" w:hAnsi="David" w:cs="David"/>
          <w:sz w:val="24"/>
          <w:szCs w:val="24"/>
          <w:rtl/>
        </w:rPr>
        <w:t xml:space="preserve">המשיב הודה בתגובתו כי במשך כל שנות הנישואין, הוא זה שהיה האחראי הבלעדי לכלכלת התא המשפחתי </w:t>
      </w:r>
      <w:r>
        <w:rPr>
          <w:rFonts w:ascii="David" w:hAnsi="David" w:cs="David"/>
          <w:b/>
          <w:bCs/>
          <w:sz w:val="24"/>
          <w:szCs w:val="24"/>
          <w:rtl/>
        </w:rPr>
        <w:t>ראו: ס' 15, 22-23 לתגובה</w:t>
      </w:r>
      <w:r>
        <w:rPr>
          <w:rFonts w:ascii="David" w:hAnsi="David" w:cs="David"/>
          <w:sz w:val="24"/>
          <w:szCs w:val="24"/>
          <w:rtl/>
        </w:rPr>
        <w:t xml:space="preserve">. </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המשיב גם הודה כי הורה לבנק לשנות את אופן הפעולה בחשבון המשותף, כך שכל פעולה תחייב חתימות של שני הצדדים</w:t>
      </w:r>
      <w:r>
        <w:rPr>
          <w:rFonts w:ascii="David" w:hAnsi="David" w:cs="David"/>
          <w:b/>
          <w:bCs/>
          <w:sz w:val="24"/>
          <w:szCs w:val="24"/>
          <w:rtl/>
        </w:rPr>
        <w:t xml:space="preserve"> ראו: ס' 27 לתגובה</w:t>
      </w:r>
      <w:r>
        <w:rPr>
          <w:rFonts w:ascii="David" w:hAnsi="David" w:cs="David"/>
          <w:sz w:val="24"/>
          <w:szCs w:val="24"/>
          <w:rtl/>
        </w:rPr>
        <w:t xml:space="preserve">. </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עיון בנספחי הבקשה מוביל למסקנה כי כרטיס האשראי של המבקשת בוטל, </w:t>
      </w:r>
      <w:r>
        <w:rPr>
          <w:rFonts w:ascii="David" w:hAnsi="David" w:cs="David"/>
          <w:b/>
          <w:bCs/>
          <w:sz w:val="24"/>
          <w:szCs w:val="24"/>
          <w:rtl/>
        </w:rPr>
        <w:t>ראו: נספח ב' לבקשה</w:t>
      </w:r>
      <w:r>
        <w:rPr>
          <w:rFonts w:ascii="David" w:hAnsi="David" w:cs="David"/>
          <w:sz w:val="24"/>
          <w:szCs w:val="24"/>
          <w:rtl/>
        </w:rPr>
        <w:t xml:space="preserve">. טענת המשיב כי כרטיס האשראי בוטל על ידי המבקשת </w:t>
      </w:r>
      <w:r>
        <w:rPr>
          <w:rFonts w:ascii="David" w:hAnsi="David" w:cs="David"/>
          <w:b/>
          <w:bCs/>
          <w:sz w:val="24"/>
          <w:szCs w:val="24"/>
          <w:rtl/>
        </w:rPr>
        <w:t>ראו: ס' 15 לתגובה</w:t>
      </w:r>
      <w:r>
        <w:rPr>
          <w:rFonts w:ascii="David" w:hAnsi="David" w:cs="David"/>
          <w:sz w:val="24"/>
          <w:szCs w:val="24"/>
          <w:rtl/>
        </w:rPr>
        <w:t>, לא נתמכה באסמכתה. יתרה מכך, טענה זו אינה מתיישבת עם ההיגיון, שכן הכרטיס היה אמצעי התשלום היחיד שעמד לרשות המבקשת.</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עוד עולה מעיון בנספחי הבקשה כי המשיב פעל לניתוק את קו הטלפון הנייד של המבקשת </w:t>
      </w:r>
      <w:r>
        <w:rPr>
          <w:rFonts w:ascii="David" w:hAnsi="David" w:cs="David"/>
          <w:b/>
          <w:bCs/>
          <w:sz w:val="24"/>
          <w:szCs w:val="24"/>
          <w:rtl/>
        </w:rPr>
        <w:t>ראו: נספח ד' לבקשה</w:t>
      </w:r>
      <w:r>
        <w:rPr>
          <w:rFonts w:ascii="David" w:hAnsi="David" w:cs="David"/>
          <w:sz w:val="24"/>
          <w:szCs w:val="24"/>
          <w:rtl/>
        </w:rPr>
        <w:t xml:space="preserve"> וביטל את פוליסת ביטוח הבריאות שלה בקופת החולים, </w:t>
      </w:r>
      <w:r>
        <w:rPr>
          <w:rFonts w:ascii="David" w:hAnsi="David" w:cs="David"/>
          <w:b/>
          <w:bCs/>
          <w:sz w:val="24"/>
          <w:szCs w:val="24"/>
          <w:rtl/>
        </w:rPr>
        <w:t>ראו: נספח ו' לבקשה</w:t>
      </w:r>
      <w:r>
        <w:rPr>
          <w:rFonts w:ascii="David" w:hAnsi="David" w:cs="David"/>
          <w:sz w:val="24"/>
          <w:szCs w:val="24"/>
          <w:rtl/>
        </w:rPr>
        <w:t xml:space="preserve">. </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לשון אחר, המשיב פעל ל"סגירת הברז הכלכלי" שעמד לרשות המבקשת טרם פרוץ הסכסוך, ודי בכך כדי לפסוק למבקשת מזונות אישה זמניים.</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בנוסף, בשים לב לפער בהשתכרות הצדדים בפועל, על בית המשפט להגן על המבקשת באמצעות פסיקת מזונות זמניים עד להסדרת הגירושין, כדי למנוע יצירת פערי כוחות כלכליים משמעותיים בין הצדדים במהלך ניהול הליך הגירושין, </w:t>
      </w:r>
      <w:r>
        <w:rPr>
          <w:rFonts w:ascii="David" w:hAnsi="David" w:cs="David"/>
          <w:b/>
          <w:bCs/>
          <w:sz w:val="24"/>
          <w:szCs w:val="24"/>
          <w:rtl/>
        </w:rPr>
        <w:t>ראו</w:t>
      </w:r>
      <w:r>
        <w:rPr>
          <w:rFonts w:ascii="David" w:hAnsi="David" w:cs="David"/>
          <w:sz w:val="24"/>
          <w:szCs w:val="24"/>
          <w:rtl/>
        </w:rPr>
        <w:t xml:space="preserve">: תלה"מ 52191-08-21 </w:t>
      </w:r>
      <w:r>
        <w:rPr>
          <w:rFonts w:ascii="David" w:hAnsi="David" w:cs="David"/>
          <w:b/>
          <w:bCs/>
          <w:sz w:val="24"/>
          <w:szCs w:val="24"/>
          <w:rtl/>
        </w:rPr>
        <w:t>ל.ד. נ' א.ד.</w:t>
      </w:r>
      <w:r>
        <w:rPr>
          <w:rFonts w:ascii="David" w:hAnsi="David" w:cs="David"/>
          <w:sz w:val="24"/>
          <w:szCs w:val="24"/>
          <w:rtl/>
        </w:rPr>
        <w:t xml:space="preserve"> (8.12.2021). הדברים סוכמו גם היטב </w:t>
      </w:r>
      <w:r>
        <w:rPr>
          <w:rFonts w:ascii="David" w:hAnsi="David" w:cs="David"/>
          <w:b/>
          <w:bCs/>
          <w:sz w:val="24"/>
          <w:szCs w:val="24"/>
          <w:rtl/>
        </w:rPr>
        <w:t>בעניין פלוני</w:t>
      </w:r>
      <w:r>
        <w:rPr>
          <w:rFonts w:ascii="David" w:hAnsi="David" w:cs="David"/>
          <w:sz w:val="24"/>
          <w:szCs w:val="24"/>
          <w:rtl/>
        </w:rPr>
        <w:t xml:space="preserve"> כדלהלן:</w:t>
      </w:r>
    </w:p>
    <w:p w:rsidR="00283183" w:rsidRDefault="00283183" w:rsidP="00283183">
      <w:pPr>
        <w:spacing w:line="360" w:lineRule="auto"/>
        <w:jc w:val="both"/>
        <w:rPr>
          <w:rFonts w:ascii="David" w:hAnsi="David"/>
          <w:rtl/>
        </w:rPr>
      </w:pPr>
    </w:p>
    <w:p w:rsidR="00283183" w:rsidRDefault="00283183" w:rsidP="00283183">
      <w:pPr>
        <w:pStyle w:val="ae"/>
        <w:spacing w:after="0" w:line="360" w:lineRule="auto"/>
        <w:ind w:left="1133" w:right="1134"/>
        <w:jc w:val="both"/>
        <w:rPr>
          <w:rFonts w:ascii="David" w:hAnsi="David" w:cs="David"/>
          <w:i/>
          <w:iCs/>
          <w:sz w:val="24"/>
          <w:szCs w:val="24"/>
          <w:rtl/>
        </w:rPr>
      </w:pPr>
      <w:r w:rsidRPr="00283183">
        <w:rPr>
          <w:rFonts w:ascii="David" w:hAnsi="David" w:cs="David"/>
          <w:i/>
          <w:iCs/>
          <w:sz w:val="24"/>
          <w:szCs w:val="24"/>
          <w:rtl/>
        </w:rPr>
        <w:t>ב</w:t>
      </w:r>
      <w:hyperlink r:id="rId14" w:history="1">
        <w:r w:rsidRPr="00283183">
          <w:rPr>
            <w:rStyle w:val="Hyperlink"/>
            <w:rFonts w:ascii="David" w:hAnsi="David" w:cs="David"/>
            <w:i/>
            <w:iCs/>
            <w:color w:val="auto"/>
            <w:sz w:val="24"/>
            <w:szCs w:val="24"/>
            <w:u w:val="none"/>
            <w:rtl/>
          </w:rPr>
          <w:t>בר"ע (י-ם) 1081/05</w:t>
        </w:r>
      </w:hyperlink>
      <w:r w:rsidRPr="00283183">
        <w:rPr>
          <w:rFonts w:ascii="David" w:hAnsi="David" w:cs="David"/>
          <w:i/>
          <w:iCs/>
          <w:sz w:val="24"/>
          <w:szCs w:val="24"/>
          <w:rtl/>
        </w:rPr>
        <w:t xml:space="preserve"> פלוני נ' אלמוני, פורסם בנבו , 8.8.2006) כי "אם רוצים </w:t>
      </w:r>
      <w:r>
        <w:rPr>
          <w:rFonts w:ascii="David" w:hAnsi="David" w:cs="David"/>
          <w:i/>
          <w:iCs/>
          <w:sz w:val="24"/>
          <w:szCs w:val="24"/>
          <w:rtl/>
        </w:rPr>
        <w:t xml:space="preserve">אנו כי בני-זוג יגיעו לדיון על רכושם או על מזונותיהם או על החזקת הילדים, כאשר מטרת ההליך הוא הפעלת "צדק המשפט" באופן שוויוני, יש להקפיד על כך כי ייפסקו מזונות זמניים הולמים - לא גבוהים מדי ולא נמוכים מדי - וכך יוכלו, הן האישה והן הבעל, לנהל את המשפט המרכזי של חייהם, כאשר ידיהם אינן קשורות מאחור, ולכל אחד יש יכולת קיום כלכלית, כפי שהיתה, פחות או יותר, ערב תחילת הדיונים ביניהם" </w:t>
      </w:r>
    </w:p>
    <w:p w:rsidR="00283183" w:rsidRDefault="00283183" w:rsidP="00283183">
      <w:pPr>
        <w:pStyle w:val="ae"/>
        <w:spacing w:after="0" w:line="360" w:lineRule="auto"/>
        <w:ind w:firstLine="413"/>
        <w:jc w:val="both"/>
        <w:rPr>
          <w:rFonts w:ascii="David" w:hAnsi="David" w:cs="David"/>
          <w:sz w:val="24"/>
          <w:szCs w:val="24"/>
          <w:rtl/>
        </w:rPr>
      </w:pPr>
      <w:r>
        <w:rPr>
          <w:rFonts w:ascii="David" w:hAnsi="David" w:cs="David"/>
          <w:b/>
          <w:bCs/>
          <w:sz w:val="24"/>
          <w:szCs w:val="24"/>
          <w:rtl/>
        </w:rPr>
        <w:t>ראו גם</w:t>
      </w:r>
      <w:r>
        <w:rPr>
          <w:rFonts w:ascii="David" w:hAnsi="David" w:cs="David"/>
          <w:sz w:val="24"/>
          <w:szCs w:val="24"/>
          <w:rtl/>
        </w:rPr>
        <w:t xml:space="preserve">: רמ"ש 20273-03-21 </w:t>
      </w:r>
      <w:r>
        <w:rPr>
          <w:rFonts w:ascii="David" w:hAnsi="David" w:cs="David"/>
          <w:b/>
          <w:bCs/>
          <w:sz w:val="24"/>
          <w:szCs w:val="24"/>
          <w:rtl/>
        </w:rPr>
        <w:t>נ.ע נ' י.ע</w:t>
      </w:r>
      <w:r>
        <w:rPr>
          <w:rFonts w:ascii="David" w:hAnsi="David" w:cs="David"/>
          <w:sz w:val="24"/>
          <w:szCs w:val="24"/>
          <w:rtl/>
        </w:rPr>
        <w:t xml:space="preserve"> (10.10.2021)</w:t>
      </w:r>
    </w:p>
    <w:p w:rsidR="00283183" w:rsidRDefault="00283183" w:rsidP="00283183">
      <w:pPr>
        <w:spacing w:line="360" w:lineRule="auto"/>
        <w:jc w:val="both"/>
        <w:rPr>
          <w:rFonts w:ascii="David" w:hAnsi="David"/>
          <w:rtl/>
        </w:rPr>
      </w:pPr>
    </w:p>
    <w:p w:rsidR="00283183" w:rsidRDefault="00283183" w:rsidP="00283183">
      <w:pPr>
        <w:pStyle w:val="ae"/>
        <w:numPr>
          <w:ilvl w:val="0"/>
          <w:numId w:val="1"/>
        </w:numPr>
        <w:spacing w:after="0" w:line="360" w:lineRule="auto"/>
        <w:jc w:val="both"/>
        <w:rPr>
          <w:rFonts w:ascii="David" w:hAnsi="David" w:cs="David"/>
          <w:sz w:val="24"/>
          <w:szCs w:val="24"/>
        </w:rPr>
      </w:pPr>
      <w:r>
        <w:rPr>
          <w:rFonts w:ascii="David" w:hAnsi="David" w:cs="David"/>
          <w:sz w:val="24"/>
          <w:szCs w:val="24"/>
          <w:rtl/>
        </w:rPr>
        <w:t>לא התעלמתי מטענות המשיב לפיהן יש לפטור אותו מתשלום מזונות למבקשת מהטעמים כדלהלן:</w:t>
      </w:r>
    </w:p>
    <w:p w:rsidR="00283183" w:rsidRDefault="00283183" w:rsidP="00283183">
      <w:pPr>
        <w:pStyle w:val="ae"/>
        <w:spacing w:after="0" w:line="360" w:lineRule="auto"/>
        <w:jc w:val="both"/>
        <w:rPr>
          <w:rFonts w:ascii="David" w:hAnsi="David" w:cs="David"/>
          <w:sz w:val="24"/>
          <w:szCs w:val="24"/>
          <w:rtl/>
        </w:rPr>
      </w:pPr>
    </w:p>
    <w:p w:rsidR="00283183" w:rsidRPr="00283183" w:rsidRDefault="00283183" w:rsidP="00283183">
      <w:pPr>
        <w:pStyle w:val="ae"/>
        <w:numPr>
          <w:ilvl w:val="0"/>
          <w:numId w:val="2"/>
        </w:numPr>
        <w:spacing w:after="0" w:line="360" w:lineRule="auto"/>
        <w:jc w:val="both"/>
        <w:rPr>
          <w:rFonts w:ascii="David" w:hAnsi="David" w:cs="David"/>
          <w:sz w:val="24"/>
          <w:szCs w:val="24"/>
        </w:rPr>
      </w:pPr>
      <w:r>
        <w:rPr>
          <w:rFonts w:ascii="David" w:hAnsi="David" w:cs="David"/>
          <w:sz w:val="24"/>
          <w:szCs w:val="24"/>
          <w:u w:val="single"/>
          <w:rtl/>
        </w:rPr>
        <w:t>למבקשת פוטנציאל השתכרות ועליה לשוב ולהשתלב במעגל העבודה</w:t>
      </w:r>
      <w:r>
        <w:rPr>
          <w:rFonts w:ascii="David" w:hAnsi="David" w:cs="David"/>
          <w:sz w:val="24"/>
          <w:szCs w:val="24"/>
          <w:rtl/>
        </w:rPr>
        <w:t xml:space="preserve"> </w:t>
      </w:r>
      <w:r>
        <w:rPr>
          <w:rFonts w:ascii="David" w:hAnsi="David" w:cs="David"/>
          <w:b/>
          <w:bCs/>
          <w:sz w:val="24"/>
          <w:szCs w:val="24"/>
          <w:rtl/>
        </w:rPr>
        <w:t xml:space="preserve">ראו: ס' ,17-20, 44 </w:t>
      </w:r>
      <w:r w:rsidRPr="00283183">
        <w:rPr>
          <w:rFonts w:ascii="David" w:hAnsi="David" w:cs="David"/>
          <w:b/>
          <w:bCs/>
          <w:sz w:val="24"/>
          <w:szCs w:val="24"/>
          <w:rtl/>
        </w:rPr>
        <w:t>לתגובה</w:t>
      </w:r>
      <w:r w:rsidRPr="00283183">
        <w:rPr>
          <w:rFonts w:ascii="David" w:hAnsi="David" w:cs="David"/>
          <w:sz w:val="24"/>
          <w:szCs w:val="24"/>
          <w:rtl/>
        </w:rPr>
        <w:t xml:space="preserve"> – בעיקרון, לא ניתן לחייב אישה לצאת לעבוד, </w:t>
      </w:r>
      <w:r w:rsidRPr="00283183">
        <w:rPr>
          <w:rFonts w:ascii="David" w:hAnsi="David" w:cs="David"/>
          <w:b/>
          <w:bCs/>
          <w:sz w:val="24"/>
          <w:szCs w:val="24"/>
          <w:rtl/>
        </w:rPr>
        <w:t>ראו</w:t>
      </w:r>
      <w:r w:rsidRPr="00283183">
        <w:rPr>
          <w:rFonts w:ascii="David" w:hAnsi="David" w:cs="David"/>
          <w:sz w:val="24"/>
          <w:szCs w:val="24"/>
          <w:rtl/>
        </w:rPr>
        <w:t>:</w:t>
      </w:r>
      <w:r w:rsidRPr="00283183">
        <w:rPr>
          <w:rFonts w:ascii="David" w:hAnsi="David" w:cs="David"/>
          <w:sz w:val="24"/>
          <w:szCs w:val="24"/>
        </w:rPr>
        <w:t xml:space="preserve"> </w:t>
      </w:r>
      <w:hyperlink r:id="rId15" w:history="1">
        <w:r w:rsidRPr="00283183">
          <w:rPr>
            <w:rStyle w:val="Hyperlink"/>
            <w:rFonts w:ascii="David" w:hAnsi="David" w:cs="David"/>
            <w:color w:val="auto"/>
            <w:sz w:val="24"/>
            <w:szCs w:val="24"/>
            <w:u w:val="none"/>
            <w:rtl/>
          </w:rPr>
          <w:t xml:space="preserve">ע"א 687/83 </w:t>
        </w:r>
        <w:r w:rsidRPr="00283183">
          <w:rPr>
            <w:rStyle w:val="Hyperlink"/>
            <w:rFonts w:ascii="David" w:hAnsi="David" w:cs="David"/>
            <w:b/>
            <w:bCs/>
            <w:color w:val="auto"/>
            <w:sz w:val="24"/>
            <w:szCs w:val="24"/>
            <w:u w:val="none"/>
            <w:rtl/>
          </w:rPr>
          <w:t>מזור נ' מזור</w:t>
        </w:r>
        <w:r w:rsidRPr="00283183">
          <w:rPr>
            <w:rStyle w:val="Hyperlink"/>
            <w:rFonts w:ascii="David" w:hAnsi="David" w:cs="David"/>
            <w:color w:val="auto"/>
            <w:sz w:val="24"/>
            <w:szCs w:val="24"/>
            <w:u w:val="none"/>
            <w:rtl/>
          </w:rPr>
          <w:t>, פ"ד לח</w:t>
        </w:r>
      </w:hyperlink>
      <w:r w:rsidRPr="00283183">
        <w:rPr>
          <w:rFonts w:ascii="David" w:hAnsi="David" w:cs="David"/>
          <w:sz w:val="24"/>
          <w:szCs w:val="24"/>
          <w:rtl/>
        </w:rPr>
        <w:t xml:space="preserve">(3) 29; </w:t>
      </w:r>
      <w:hyperlink r:id="rId16" w:history="1">
        <w:r w:rsidRPr="00283183">
          <w:rPr>
            <w:rStyle w:val="Hyperlink"/>
            <w:rFonts w:ascii="David" w:hAnsi="David" w:cs="David"/>
            <w:color w:val="auto"/>
            <w:sz w:val="24"/>
            <w:szCs w:val="24"/>
            <w:u w:val="none"/>
            <w:rtl/>
          </w:rPr>
          <w:t xml:space="preserve">ע"א 378/80 </w:t>
        </w:r>
        <w:r w:rsidRPr="00283183">
          <w:rPr>
            <w:rStyle w:val="Hyperlink"/>
            <w:rFonts w:ascii="David" w:hAnsi="David" w:cs="David"/>
            <w:b/>
            <w:bCs/>
            <w:color w:val="auto"/>
            <w:sz w:val="24"/>
            <w:szCs w:val="24"/>
            <w:u w:val="none"/>
            <w:rtl/>
          </w:rPr>
          <w:t>יצהר נ' יצהר</w:t>
        </w:r>
        <w:r w:rsidRPr="00283183">
          <w:rPr>
            <w:rStyle w:val="Hyperlink"/>
            <w:rFonts w:ascii="David" w:hAnsi="David" w:cs="David"/>
            <w:color w:val="auto"/>
            <w:sz w:val="24"/>
            <w:szCs w:val="24"/>
            <w:u w:val="none"/>
            <w:rtl/>
          </w:rPr>
          <w:t>, פ"ד לה</w:t>
        </w:r>
      </w:hyperlink>
      <w:r w:rsidRPr="00283183">
        <w:rPr>
          <w:rFonts w:ascii="David" w:hAnsi="David" w:cs="David"/>
          <w:sz w:val="24"/>
          <w:szCs w:val="24"/>
          <w:rtl/>
        </w:rPr>
        <w:t xml:space="preserve">(1), 328. עם זאת, אם אישה עבדה בעבר והפסיקה לעבוד במסגרת מאבק הגירושין במטרה "להכניס את ידה לכיס העמוק של </w:t>
      </w:r>
      <w:r w:rsidRPr="00283183">
        <w:rPr>
          <w:rFonts w:ascii="David" w:hAnsi="David" w:cs="David"/>
          <w:sz w:val="24"/>
          <w:szCs w:val="24"/>
          <w:rtl/>
        </w:rPr>
        <w:lastRenderedPageBreak/>
        <w:t xml:space="preserve">בעלה או כדי להכעיס", כי אז "ראוי לשקול סטייה מן ההלכה שאין כופין אותה לעבוד", </w:t>
      </w:r>
      <w:r w:rsidRPr="00283183">
        <w:rPr>
          <w:rFonts w:ascii="David" w:hAnsi="David" w:cs="David"/>
          <w:b/>
          <w:bCs/>
          <w:sz w:val="24"/>
          <w:szCs w:val="24"/>
          <w:rtl/>
        </w:rPr>
        <w:t>ראו</w:t>
      </w:r>
      <w:r w:rsidRPr="00283183">
        <w:rPr>
          <w:rFonts w:ascii="David" w:hAnsi="David" w:cs="David"/>
          <w:sz w:val="24"/>
          <w:szCs w:val="24"/>
          <w:rtl/>
        </w:rPr>
        <w:t xml:space="preserve">: </w:t>
      </w:r>
      <w:hyperlink r:id="rId17" w:history="1">
        <w:r w:rsidRPr="00283183">
          <w:rPr>
            <w:rStyle w:val="Hyperlink"/>
            <w:rFonts w:ascii="David" w:hAnsi="David" w:cs="David"/>
            <w:color w:val="auto"/>
            <w:sz w:val="24"/>
            <w:szCs w:val="24"/>
            <w:u w:val="none"/>
            <w:rtl/>
          </w:rPr>
          <w:t>ע"מ (י-ם) 177/99</w:t>
        </w:r>
      </w:hyperlink>
      <w:r w:rsidRPr="00283183">
        <w:rPr>
          <w:rFonts w:ascii="David" w:hAnsi="David" w:cs="David"/>
          <w:sz w:val="24"/>
          <w:szCs w:val="24"/>
          <w:rtl/>
        </w:rPr>
        <w:t xml:space="preserve"> </w:t>
      </w:r>
      <w:r w:rsidRPr="00283183">
        <w:rPr>
          <w:rFonts w:ascii="David" w:hAnsi="David" w:cs="David" w:hint="cs"/>
          <w:b/>
          <w:bCs/>
          <w:sz w:val="24"/>
          <w:szCs w:val="24"/>
          <w:rtl/>
        </w:rPr>
        <w:t>איילון נ' איילון</w:t>
      </w:r>
      <w:r w:rsidRPr="00283183">
        <w:rPr>
          <w:rFonts w:ascii="David" w:hAnsi="David" w:cs="David" w:hint="cs"/>
          <w:sz w:val="24"/>
          <w:szCs w:val="24"/>
          <w:rtl/>
        </w:rPr>
        <w:t xml:space="preserve"> פלוני נ' אלמונית (2.3.2000); תמ"ש 1800-08 </w:t>
      </w:r>
      <w:r w:rsidRPr="00283183">
        <w:rPr>
          <w:rFonts w:ascii="David" w:hAnsi="David" w:cs="David" w:hint="cs"/>
          <w:b/>
          <w:bCs/>
          <w:sz w:val="24"/>
          <w:szCs w:val="24"/>
          <w:rtl/>
        </w:rPr>
        <w:t>מ' נ' מ'</w:t>
      </w:r>
      <w:r w:rsidRPr="00283183">
        <w:rPr>
          <w:rFonts w:ascii="David" w:hAnsi="David" w:cs="David" w:hint="cs"/>
          <w:sz w:val="24"/>
          <w:szCs w:val="24"/>
          <w:rtl/>
        </w:rPr>
        <w:t xml:space="preserve"> (20.5.2013)</w:t>
      </w:r>
    </w:p>
    <w:p w:rsidR="00283183" w:rsidRDefault="00283183" w:rsidP="00283183">
      <w:pPr>
        <w:spacing w:line="360" w:lineRule="auto"/>
        <w:jc w:val="both"/>
        <w:rPr>
          <w:rFonts w:ascii="David" w:hAnsi="David"/>
          <w:rtl/>
        </w:rPr>
      </w:pPr>
    </w:p>
    <w:p w:rsidR="00283183" w:rsidRDefault="00283183" w:rsidP="00283183">
      <w:pPr>
        <w:pStyle w:val="ae"/>
        <w:spacing w:after="0" w:line="360" w:lineRule="auto"/>
        <w:ind w:left="1080"/>
        <w:jc w:val="both"/>
        <w:rPr>
          <w:rFonts w:ascii="David" w:hAnsi="David" w:cs="David"/>
          <w:sz w:val="24"/>
          <w:szCs w:val="24"/>
          <w:rtl/>
        </w:rPr>
      </w:pPr>
      <w:r>
        <w:rPr>
          <w:rFonts w:ascii="David" w:hAnsi="David" w:cs="David"/>
          <w:sz w:val="24"/>
          <w:szCs w:val="24"/>
          <w:rtl/>
        </w:rPr>
        <w:t xml:space="preserve">במסגרת השיקולים של פסיקת מזונות לאישה, ככל שמדובר בהכנסותיה מעבודה, יש להבחין בין שני מקרים: אישה שעבדה כל השנים, והפסיקה לעבוד או צמצמה את עבודתה בגלל ההליכים המשפטיים; אישה שמעולם לא עבדה  ויש לה רק פוטנציאל כושר השתכרות, </w:t>
      </w:r>
      <w:r>
        <w:rPr>
          <w:rFonts w:ascii="David" w:hAnsi="David" w:cs="David"/>
          <w:b/>
          <w:bCs/>
          <w:sz w:val="24"/>
          <w:szCs w:val="24"/>
          <w:rtl/>
        </w:rPr>
        <w:t>ראו</w:t>
      </w:r>
      <w:r>
        <w:rPr>
          <w:rFonts w:ascii="David" w:hAnsi="David" w:cs="David"/>
          <w:sz w:val="24"/>
          <w:szCs w:val="24"/>
          <w:rtl/>
        </w:rPr>
        <w:t xml:space="preserve">: רמ"ש 20273-03-21 </w:t>
      </w:r>
      <w:r>
        <w:rPr>
          <w:rFonts w:ascii="David" w:hAnsi="David" w:cs="David"/>
          <w:b/>
          <w:bCs/>
          <w:sz w:val="24"/>
          <w:szCs w:val="24"/>
          <w:rtl/>
        </w:rPr>
        <w:t>נ.ע נ' י.ע</w:t>
      </w:r>
      <w:r>
        <w:rPr>
          <w:rFonts w:ascii="David" w:hAnsi="David" w:cs="David"/>
          <w:sz w:val="24"/>
          <w:szCs w:val="24"/>
          <w:rtl/>
        </w:rPr>
        <w:t xml:space="preserve"> (10.10.2021).</w:t>
      </w:r>
    </w:p>
    <w:p w:rsidR="00283183" w:rsidRDefault="00283183" w:rsidP="00283183">
      <w:pPr>
        <w:pStyle w:val="ae"/>
        <w:spacing w:after="0" w:line="360" w:lineRule="auto"/>
        <w:ind w:left="1080"/>
        <w:jc w:val="both"/>
        <w:rPr>
          <w:rFonts w:ascii="David" w:hAnsi="David" w:cs="David"/>
          <w:sz w:val="24"/>
          <w:szCs w:val="24"/>
          <w:rtl/>
        </w:rPr>
      </w:pPr>
    </w:p>
    <w:p w:rsidR="00283183" w:rsidRDefault="00283183" w:rsidP="00283183">
      <w:pPr>
        <w:pStyle w:val="ae"/>
        <w:spacing w:after="0" w:line="360" w:lineRule="auto"/>
        <w:ind w:left="1080"/>
        <w:jc w:val="both"/>
        <w:rPr>
          <w:rFonts w:ascii="David" w:hAnsi="David" w:cs="David"/>
          <w:sz w:val="24"/>
          <w:szCs w:val="24"/>
          <w:rtl/>
        </w:rPr>
      </w:pPr>
      <w:r>
        <w:rPr>
          <w:rFonts w:ascii="David" w:hAnsi="David" w:cs="David"/>
          <w:sz w:val="24"/>
          <w:szCs w:val="24"/>
          <w:rtl/>
        </w:rPr>
        <w:t>המשיב צירף תדפיס חשבון בנק, ממנו עולה כי לחשבון הבנק המשותף של הצדדים הופקדו שתי משכורת: אחת בסך של 3,433 ₪ והשנייה על סך של 2,290 ₪. ואולם, עסקינן במשכורות מחודש דצמבר 2021 וינואר 2022, דהיינו לפני כ-3 שנים, כך שלא מדובר במצב בו המבקשת חדלה מלעבוד בסמוך או בעקבות הליכי הגירושין. במצב דברים זה, לא לניתן לחייב את המבקשת לצאת לעבוד ולא ניתן לפטור את המשיב ממזונות המבקשת בשל פוטנציאל ההשתכרות הנטען.</w:t>
      </w:r>
    </w:p>
    <w:p w:rsidR="00283183" w:rsidRDefault="00283183" w:rsidP="00283183">
      <w:pPr>
        <w:pStyle w:val="ae"/>
        <w:spacing w:after="0" w:line="360" w:lineRule="auto"/>
        <w:ind w:left="1080"/>
        <w:jc w:val="both"/>
        <w:rPr>
          <w:rFonts w:ascii="David" w:hAnsi="David" w:cs="David"/>
          <w:sz w:val="24"/>
          <w:szCs w:val="24"/>
          <w:rtl/>
        </w:rPr>
      </w:pPr>
    </w:p>
    <w:p w:rsidR="00283183" w:rsidRDefault="00283183" w:rsidP="00283183">
      <w:pPr>
        <w:pStyle w:val="ae"/>
        <w:numPr>
          <w:ilvl w:val="0"/>
          <w:numId w:val="2"/>
        </w:numPr>
        <w:spacing w:after="0" w:line="360" w:lineRule="auto"/>
        <w:jc w:val="both"/>
        <w:rPr>
          <w:rFonts w:ascii="David" w:hAnsi="David" w:cs="David"/>
          <w:sz w:val="24"/>
          <w:szCs w:val="24"/>
          <w:rtl/>
        </w:rPr>
      </w:pPr>
      <w:r>
        <w:rPr>
          <w:rFonts w:ascii="David" w:hAnsi="David" w:cs="David"/>
          <w:sz w:val="24"/>
          <w:szCs w:val="24"/>
          <w:u w:val="single"/>
          <w:rtl/>
        </w:rPr>
        <w:t>הצדדים מתגוררים יחד ואין לחייב את המשיב במזונות המבקשת לצד התשלומים בדבר כלכלת המשפחה, בהם הוא נושא לבדו באופן ישיר</w:t>
      </w:r>
      <w:r>
        <w:rPr>
          <w:rFonts w:ascii="David" w:hAnsi="David" w:cs="David" w:hint="cs"/>
          <w:sz w:val="24"/>
          <w:szCs w:val="24"/>
          <w:rtl/>
        </w:rPr>
        <w:t xml:space="preserve"> </w:t>
      </w:r>
      <w:r>
        <w:rPr>
          <w:rFonts w:ascii="David" w:hAnsi="David" w:cs="David"/>
          <w:sz w:val="24"/>
          <w:szCs w:val="24"/>
          <w:rtl/>
        </w:rPr>
        <w:t xml:space="preserve">– הפסיקה קבעה כי במישור העקרוני, אין מניעה לפסוק מזונות זמניים כשהצדדים מתגוררים יחד </w:t>
      </w:r>
      <w:r>
        <w:rPr>
          <w:rFonts w:ascii="David" w:hAnsi="David" w:cs="David"/>
          <w:b/>
          <w:bCs/>
          <w:sz w:val="24"/>
          <w:szCs w:val="24"/>
          <w:rtl/>
        </w:rPr>
        <w:t>ראו</w:t>
      </w:r>
      <w:r>
        <w:rPr>
          <w:rFonts w:ascii="David" w:hAnsi="David" w:cs="David"/>
          <w:sz w:val="24"/>
          <w:szCs w:val="24"/>
          <w:rtl/>
        </w:rPr>
        <w:t xml:space="preserve">: רמש 38489-11-15 </w:t>
      </w:r>
      <w:r>
        <w:rPr>
          <w:rFonts w:ascii="David" w:hAnsi="David" w:cs="David"/>
          <w:b/>
          <w:bCs/>
          <w:sz w:val="24"/>
          <w:szCs w:val="24"/>
          <w:rtl/>
        </w:rPr>
        <w:t>כ.ד נ' ג.ד.</w:t>
      </w:r>
      <w:r>
        <w:rPr>
          <w:rFonts w:ascii="David" w:hAnsi="David" w:cs="David"/>
          <w:sz w:val="24"/>
          <w:szCs w:val="24"/>
          <w:rtl/>
        </w:rPr>
        <w:t xml:space="preserve"> (20.1.2016); רמ"ש 12918-11-14 </w:t>
      </w:r>
      <w:r>
        <w:rPr>
          <w:rFonts w:ascii="David" w:hAnsi="David" w:cs="David"/>
          <w:b/>
          <w:bCs/>
          <w:sz w:val="24"/>
          <w:szCs w:val="24"/>
          <w:rtl/>
        </w:rPr>
        <w:t>ע. נ' א.</w:t>
      </w:r>
      <w:r>
        <w:rPr>
          <w:rFonts w:ascii="David" w:hAnsi="David" w:cs="David"/>
          <w:sz w:val="24"/>
          <w:szCs w:val="24"/>
          <w:rtl/>
        </w:rPr>
        <w:t xml:space="preserve"> (16.12.24). יחד עם זאת, יש לבצע התאמה בין התשלומים, בהם נושא המשיב מיוזמתו לבין הסכום של דמי המזונות.</w:t>
      </w:r>
    </w:p>
    <w:p w:rsidR="00283183" w:rsidRDefault="00283183" w:rsidP="00283183">
      <w:pPr>
        <w:pStyle w:val="ae"/>
        <w:spacing w:after="0" w:line="360" w:lineRule="auto"/>
        <w:ind w:left="1080"/>
        <w:jc w:val="both"/>
        <w:rPr>
          <w:rFonts w:ascii="David" w:hAnsi="David" w:cs="David"/>
          <w:sz w:val="24"/>
          <w:szCs w:val="24"/>
        </w:rPr>
      </w:pPr>
    </w:p>
    <w:p w:rsidR="00283183" w:rsidRDefault="00283183" w:rsidP="00283183">
      <w:pPr>
        <w:pStyle w:val="ae"/>
        <w:numPr>
          <w:ilvl w:val="0"/>
          <w:numId w:val="2"/>
        </w:numPr>
        <w:spacing w:after="0" w:line="360" w:lineRule="auto"/>
        <w:jc w:val="both"/>
        <w:rPr>
          <w:rFonts w:ascii="David" w:hAnsi="David" w:cs="David"/>
          <w:sz w:val="24"/>
          <w:szCs w:val="24"/>
        </w:rPr>
      </w:pPr>
      <w:r>
        <w:rPr>
          <w:rFonts w:ascii="David" w:hAnsi="David" w:cs="David"/>
          <w:sz w:val="24"/>
          <w:szCs w:val="24"/>
          <w:u w:val="single"/>
          <w:rtl/>
        </w:rPr>
        <w:t>סיוע כלכלי שמעניק אבי המבקשת, למבקשת</w:t>
      </w:r>
      <w:r>
        <w:rPr>
          <w:rFonts w:ascii="David" w:hAnsi="David" w:cs="David"/>
          <w:sz w:val="24"/>
          <w:szCs w:val="24"/>
          <w:rtl/>
        </w:rPr>
        <w:t xml:space="preserve"> </w:t>
      </w:r>
      <w:r>
        <w:rPr>
          <w:rFonts w:ascii="David" w:hAnsi="David" w:cs="David"/>
          <w:b/>
          <w:bCs/>
          <w:sz w:val="24"/>
          <w:szCs w:val="24"/>
          <w:rtl/>
        </w:rPr>
        <w:t>ראו: ס' 29-31 לתגובה</w:t>
      </w:r>
      <w:r>
        <w:rPr>
          <w:rFonts w:ascii="David" w:hAnsi="David" w:cs="David"/>
          <w:sz w:val="24"/>
          <w:szCs w:val="24"/>
          <w:rtl/>
        </w:rPr>
        <w:t xml:space="preserve"> – כשם שלא רואים בסיוע כספי שמוענק על ידי בני משפחה הכנסה לצורך קביעת שיעור המזונות, שכן מדובר בסיוע שיכול להיפסק בשלב מסוים </w:t>
      </w:r>
      <w:r>
        <w:rPr>
          <w:rFonts w:ascii="David" w:hAnsi="David" w:cs="David"/>
          <w:b/>
          <w:bCs/>
          <w:sz w:val="24"/>
          <w:szCs w:val="24"/>
          <w:rtl/>
        </w:rPr>
        <w:t>ראו</w:t>
      </w:r>
      <w:r>
        <w:rPr>
          <w:rFonts w:ascii="David" w:hAnsi="David" w:cs="David"/>
          <w:sz w:val="24"/>
          <w:szCs w:val="24"/>
          <w:rtl/>
        </w:rPr>
        <w:t xml:space="preserve">: עמ"ש 11101-12-17 </w:t>
      </w:r>
      <w:r>
        <w:rPr>
          <w:rFonts w:ascii="David" w:hAnsi="David" w:cs="David"/>
          <w:b/>
          <w:bCs/>
          <w:sz w:val="24"/>
          <w:szCs w:val="24"/>
          <w:rtl/>
        </w:rPr>
        <w:t>ב' ואח' נ' ב' ואח'</w:t>
      </w:r>
      <w:r>
        <w:rPr>
          <w:rFonts w:ascii="David" w:hAnsi="David" w:cs="David"/>
          <w:sz w:val="24"/>
          <w:szCs w:val="24"/>
          <w:rtl/>
        </w:rPr>
        <w:t xml:space="preserve"> (20.11.2018); תמ"ש 17202-08-22 </w:t>
      </w:r>
      <w:r>
        <w:rPr>
          <w:rFonts w:ascii="David" w:hAnsi="David" w:cs="David"/>
          <w:b/>
          <w:bCs/>
          <w:sz w:val="24"/>
          <w:szCs w:val="24"/>
          <w:rtl/>
        </w:rPr>
        <w:t>אב נ' אם</w:t>
      </w:r>
      <w:r>
        <w:rPr>
          <w:rFonts w:ascii="David" w:hAnsi="David" w:cs="David"/>
          <w:sz w:val="24"/>
          <w:szCs w:val="24"/>
          <w:rtl/>
        </w:rPr>
        <w:t xml:space="preserve"> (5.10.2024), כך גם אין לראות בסיוע הכלכלי שמעניק אבי המבקשת, למבקשת, משום פטור ממזונותיה הזמניים.</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2"/>
        </w:numPr>
        <w:spacing w:after="0" w:line="360" w:lineRule="auto"/>
        <w:jc w:val="both"/>
        <w:rPr>
          <w:rFonts w:ascii="David" w:hAnsi="David" w:cs="David"/>
          <w:sz w:val="24"/>
          <w:szCs w:val="24"/>
          <w:rtl/>
        </w:rPr>
      </w:pPr>
      <w:r>
        <w:rPr>
          <w:rFonts w:ascii="David" w:hAnsi="David" w:cs="David"/>
          <w:sz w:val="24"/>
          <w:szCs w:val="24"/>
          <w:u w:val="single"/>
          <w:rtl/>
        </w:rPr>
        <w:t>המבקשת הינה אישה מורדת ועוברת על הדת</w:t>
      </w:r>
      <w:r>
        <w:rPr>
          <w:rFonts w:ascii="David" w:hAnsi="David" w:cs="David"/>
          <w:sz w:val="24"/>
          <w:szCs w:val="24"/>
          <w:rtl/>
        </w:rPr>
        <w:t xml:space="preserve"> </w:t>
      </w:r>
      <w:r>
        <w:rPr>
          <w:rFonts w:ascii="David" w:hAnsi="David" w:cs="David"/>
          <w:b/>
          <w:bCs/>
          <w:sz w:val="24"/>
          <w:szCs w:val="24"/>
          <w:rtl/>
        </w:rPr>
        <w:t>ראו: ס' 43 לתגובה</w:t>
      </w:r>
      <w:r>
        <w:rPr>
          <w:rFonts w:ascii="David" w:hAnsi="David" w:cs="David"/>
          <w:sz w:val="24"/>
          <w:szCs w:val="24"/>
          <w:rtl/>
        </w:rPr>
        <w:t xml:space="preserve"> - הסמכות להכריז על אישה כ"מורדת" נתונה לבית הדין הרבני בלבד. יחד עם זאת, בתי המשפט לענייני משפחה בדונם בתביעת מזונות אישה, ראו לנכון להכריע באופן אקראי אף בשאלת היות האשה "מורדת" לצורך קביעת זכותה לקבלת מזונותיה, מבלי שתהיה בהכרעה זו כל השפעה על הסטטוס שלה כ"מורדת". הנטל להוכיח מרידה מוטל על המשיב, </w:t>
      </w:r>
      <w:r>
        <w:rPr>
          <w:rFonts w:ascii="David" w:hAnsi="David" w:cs="David"/>
          <w:b/>
          <w:bCs/>
          <w:sz w:val="24"/>
          <w:szCs w:val="24"/>
          <w:rtl/>
        </w:rPr>
        <w:t>ראו</w:t>
      </w:r>
      <w:r>
        <w:rPr>
          <w:rFonts w:ascii="David" w:hAnsi="David" w:cs="David"/>
          <w:sz w:val="24"/>
          <w:szCs w:val="24"/>
          <w:rtl/>
        </w:rPr>
        <w:t xml:space="preserve">: תמ"ש 24490-06 </w:t>
      </w:r>
      <w:r>
        <w:rPr>
          <w:rFonts w:ascii="David" w:hAnsi="David" w:cs="David"/>
          <w:b/>
          <w:bCs/>
          <w:sz w:val="24"/>
          <w:szCs w:val="24"/>
          <w:rtl/>
        </w:rPr>
        <w:t>ב' ואח' נ' ב' ואח'</w:t>
      </w:r>
      <w:r>
        <w:rPr>
          <w:rFonts w:ascii="David" w:hAnsi="David" w:cs="David"/>
          <w:sz w:val="24"/>
          <w:szCs w:val="24"/>
          <w:rtl/>
        </w:rPr>
        <w:t xml:space="preserve"> (10.11.2011) והמשיב לא עמד בנטל זה. מלבד תיאור כללי </w:t>
      </w:r>
      <w:r>
        <w:rPr>
          <w:rFonts w:ascii="David" w:hAnsi="David" w:cs="David"/>
          <w:sz w:val="24"/>
          <w:szCs w:val="24"/>
          <w:rtl/>
        </w:rPr>
        <w:lastRenderedPageBreak/>
        <w:t>כי המבקשת מקללת, מגדפת, מאיימת וכו', המבקש לא הניח כל תשתית עובדתית וראייתית לטענת המרידה והטענה, לצורך שלילת מזונות המבקשת, לא הוכחה.</w:t>
      </w:r>
    </w:p>
    <w:p w:rsidR="00283183" w:rsidRDefault="00283183" w:rsidP="00283183">
      <w:pPr>
        <w:pStyle w:val="ae"/>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לאחר שנקבע כי המבקשת זכאית למזונות זמניים, יש לקבוע את שיעורם. </w:t>
      </w:r>
    </w:p>
    <w:p w:rsidR="00283183" w:rsidRDefault="00283183" w:rsidP="00283183">
      <w:pPr>
        <w:spacing w:line="360" w:lineRule="auto"/>
        <w:jc w:val="both"/>
        <w:rPr>
          <w:rFonts w:ascii="David" w:hAnsi="David"/>
        </w:rPr>
      </w:pPr>
    </w:p>
    <w:p w:rsidR="00283183" w:rsidRDefault="00283183" w:rsidP="00283183">
      <w:pPr>
        <w:pStyle w:val="ae"/>
        <w:numPr>
          <w:ilvl w:val="0"/>
          <w:numId w:val="1"/>
        </w:numPr>
        <w:spacing w:after="0" w:line="360" w:lineRule="auto"/>
        <w:jc w:val="both"/>
        <w:rPr>
          <w:rFonts w:ascii="David" w:hAnsi="David" w:cs="David"/>
          <w:sz w:val="24"/>
          <w:szCs w:val="24"/>
        </w:rPr>
      </w:pPr>
      <w:r>
        <w:rPr>
          <w:rFonts w:ascii="David" w:hAnsi="David" w:cs="David"/>
          <w:sz w:val="24"/>
          <w:szCs w:val="24"/>
          <w:rtl/>
        </w:rPr>
        <w:t xml:space="preserve">על פי הדין העברי, יש לפסוק מזונות אישה על פי רמת החיים שאליה הורגלה, תוך יישום הכלל ההלכתי "עולה עמו ואינה יורדת עמו", </w:t>
      </w:r>
      <w:r>
        <w:rPr>
          <w:rFonts w:ascii="David" w:hAnsi="David" w:cs="David"/>
          <w:b/>
          <w:bCs/>
          <w:sz w:val="24"/>
          <w:szCs w:val="24"/>
          <w:rtl/>
        </w:rPr>
        <w:t>ראו</w:t>
      </w:r>
      <w:r>
        <w:rPr>
          <w:rFonts w:ascii="David" w:hAnsi="David" w:cs="David"/>
          <w:sz w:val="24"/>
          <w:szCs w:val="24"/>
          <w:rtl/>
        </w:rPr>
        <w:t xml:space="preserve">: </w:t>
      </w:r>
      <w:r>
        <w:rPr>
          <w:rFonts w:ascii="David" w:hAnsi="David" w:cs="David"/>
          <w:b/>
          <w:bCs/>
          <w:sz w:val="24"/>
          <w:szCs w:val="24"/>
          <w:rtl/>
        </w:rPr>
        <w:t xml:space="preserve">תלה"מ 61552-12-20 </w:t>
      </w:r>
      <w:r>
        <w:rPr>
          <w:rFonts w:ascii="David" w:hAnsi="David" w:cs="David"/>
          <w:b/>
          <w:bCs/>
          <w:sz w:val="24"/>
          <w:szCs w:val="24"/>
        </w:rPr>
        <w:t>XXX</w:t>
      </w:r>
      <w:r>
        <w:rPr>
          <w:rFonts w:ascii="David" w:hAnsi="David" w:cs="David"/>
          <w:b/>
          <w:bCs/>
          <w:sz w:val="24"/>
          <w:szCs w:val="24"/>
          <w:rtl/>
        </w:rPr>
        <w:t xml:space="preserve"> נ' </w:t>
      </w:r>
      <w:r>
        <w:rPr>
          <w:rFonts w:ascii="David" w:hAnsi="David" w:cs="David"/>
          <w:b/>
          <w:bCs/>
          <w:sz w:val="24"/>
          <w:szCs w:val="24"/>
        </w:rPr>
        <w:t>XXX</w:t>
      </w:r>
      <w:r>
        <w:rPr>
          <w:rFonts w:ascii="David" w:hAnsi="David" w:cs="David"/>
          <w:sz w:val="24"/>
          <w:szCs w:val="24"/>
          <w:rtl/>
        </w:rPr>
        <w:t xml:space="preserve"> (24.4.2024).</w:t>
      </w:r>
    </w:p>
    <w:p w:rsidR="00283183" w:rsidRDefault="00283183" w:rsidP="00283183">
      <w:pPr>
        <w:pStyle w:val="ae"/>
        <w:spacing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במסגרת הבקשה, המבקשת לא הצביעה על רמת חיים גבוהה במיוחד. עיון בפירוט צרכי המבקשת, </w:t>
      </w:r>
      <w:r>
        <w:rPr>
          <w:rFonts w:ascii="David" w:hAnsi="David" w:cs="David"/>
          <w:b/>
          <w:bCs/>
          <w:sz w:val="24"/>
          <w:szCs w:val="24"/>
          <w:rtl/>
        </w:rPr>
        <w:t>ראו: ס' 38 לבקשה</w:t>
      </w:r>
      <w:r>
        <w:rPr>
          <w:rFonts w:ascii="David" w:hAnsi="David" w:cs="David"/>
          <w:sz w:val="24"/>
          <w:szCs w:val="24"/>
          <w:rtl/>
        </w:rPr>
        <w:t xml:space="preserve">, מוביל למסקנה כי מרבית הסכומים הינם סבירים וכל הוצאה שנטענה נתמכה באסמכתה. </w:t>
      </w:r>
    </w:p>
    <w:p w:rsidR="00283183" w:rsidRDefault="00283183" w:rsidP="00283183">
      <w:pPr>
        <w:pStyle w:val="ae"/>
        <w:spacing w:line="360" w:lineRule="auto"/>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יחד עם זאת, ההוצאות מסוימות נדרשו פעמיים, </w:t>
      </w:r>
      <w:r>
        <w:rPr>
          <w:rFonts w:ascii="David" w:hAnsi="David" w:cs="David"/>
          <w:b/>
          <w:bCs/>
          <w:sz w:val="24"/>
          <w:szCs w:val="24"/>
          <w:rtl/>
        </w:rPr>
        <w:t>ראו</w:t>
      </w:r>
      <w:r>
        <w:rPr>
          <w:rFonts w:ascii="David" w:hAnsi="David" w:cs="David"/>
          <w:sz w:val="24"/>
          <w:szCs w:val="24"/>
          <w:rtl/>
        </w:rPr>
        <w:t xml:space="preserve">, </w:t>
      </w:r>
      <w:r>
        <w:rPr>
          <w:rFonts w:ascii="David" w:hAnsi="David" w:cs="David"/>
          <w:b/>
          <w:bCs/>
          <w:sz w:val="24"/>
          <w:szCs w:val="24"/>
          <w:rtl/>
        </w:rPr>
        <w:t>למשל</w:t>
      </w:r>
      <w:r>
        <w:rPr>
          <w:rFonts w:ascii="David" w:hAnsi="David" w:cs="David"/>
          <w:sz w:val="24"/>
          <w:szCs w:val="24"/>
          <w:rtl/>
        </w:rPr>
        <w:t>: "תחבורה ציבורית" ו"הוצאות אחזקת רכב", "קוסמטיקה" ו"מוצרי קוסמטיקה", "דמי כיס" ו"שונות". כן, נדרש סך של 200 ₪ עבור "ציוד לבית", כאשר לא נטען כי יש צורך מיידי בהחלפת הציוד, כך שאין מקום לפסוק סך זה במסגרת פסיקת מזונות זמניים.</w:t>
      </w:r>
    </w:p>
    <w:p w:rsidR="00283183" w:rsidRDefault="00283183" w:rsidP="00283183">
      <w:pPr>
        <w:pStyle w:val="ae"/>
        <w:spacing w:line="360" w:lineRule="auto"/>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לאור האמור, אני מעמיד את מזונות הזמניים של המבקשת על סך של 3,000 ₪ לחודש. בנוסף לסך זה, המשיב יישא, כפי שנשא, בהוצאות אחזקת המדור וכן בהוצאות אחזקת הרכב.</w:t>
      </w:r>
    </w:p>
    <w:p w:rsidR="00283183" w:rsidRDefault="00283183" w:rsidP="00283183">
      <w:pPr>
        <w:pStyle w:val="ae"/>
        <w:spacing w:line="360" w:lineRule="auto"/>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מובהר ומודגש כי עם ביצוע התשלומים הנקובים </w:t>
      </w:r>
      <w:r>
        <w:rPr>
          <w:rFonts w:ascii="David" w:hAnsi="David" w:cs="David"/>
          <w:b/>
          <w:bCs/>
          <w:sz w:val="24"/>
          <w:szCs w:val="24"/>
          <w:rtl/>
        </w:rPr>
        <w:t>בס' 47 לעיל</w:t>
      </w:r>
      <w:r>
        <w:rPr>
          <w:rFonts w:ascii="David" w:hAnsi="David" w:cs="David"/>
          <w:sz w:val="24"/>
          <w:szCs w:val="24"/>
          <w:rtl/>
        </w:rPr>
        <w:t xml:space="preserve">, המשיב יצא ידי חובתו בתשלום מזונות המבקשת והוא לא נדרש לממן הוצאה נוספת כלשהי עבור המבקשת. </w:t>
      </w:r>
    </w:p>
    <w:p w:rsidR="00283183" w:rsidRDefault="00283183" w:rsidP="00283183">
      <w:pPr>
        <w:pStyle w:val="ae"/>
        <w:spacing w:line="360" w:lineRule="auto"/>
        <w:rPr>
          <w:rFonts w:ascii="David" w:hAnsi="David" w:cs="David"/>
          <w:sz w:val="24"/>
          <w:szCs w:val="24"/>
        </w:rPr>
      </w:pPr>
    </w:p>
    <w:p w:rsidR="00283183" w:rsidRDefault="00283183" w:rsidP="00283183">
      <w:pPr>
        <w:spacing w:line="360" w:lineRule="auto"/>
        <w:jc w:val="both"/>
        <w:rPr>
          <w:rFonts w:ascii="David" w:hAnsi="David"/>
          <w:b/>
          <w:bCs/>
          <w:u w:val="single"/>
          <w:rtl/>
        </w:rPr>
      </w:pPr>
      <w:r>
        <w:rPr>
          <w:rFonts w:ascii="David" w:hAnsi="David"/>
          <w:b/>
          <w:bCs/>
          <w:u w:val="single"/>
          <w:rtl/>
        </w:rPr>
        <w:t>הוראות אופרטיביות</w:t>
      </w:r>
    </w:p>
    <w:p w:rsidR="00283183" w:rsidRDefault="00283183" w:rsidP="00283183">
      <w:pPr>
        <w:pStyle w:val="ae"/>
        <w:spacing w:line="360" w:lineRule="auto"/>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המשיב יישא במזונות הזמניים עבור המבקשת בסך של 3,000 ₪ לחודש (להלן: "</w:t>
      </w:r>
      <w:r>
        <w:rPr>
          <w:rFonts w:ascii="David" w:hAnsi="David" w:cs="David"/>
          <w:b/>
          <w:bCs/>
          <w:sz w:val="24"/>
          <w:szCs w:val="24"/>
          <w:rtl/>
        </w:rPr>
        <w:t>דמי המזונות</w:t>
      </w:r>
      <w:r>
        <w:rPr>
          <w:rFonts w:ascii="David" w:hAnsi="David" w:cs="David"/>
          <w:sz w:val="24"/>
          <w:szCs w:val="24"/>
          <w:rtl/>
        </w:rPr>
        <w:t>").</w:t>
      </w:r>
    </w:p>
    <w:p w:rsidR="00283183" w:rsidRDefault="00283183" w:rsidP="00283183">
      <w:pPr>
        <w:pStyle w:val="ae"/>
        <w:spacing w:after="0" w:line="360" w:lineRule="auto"/>
        <w:jc w:val="both"/>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Pr>
      </w:pPr>
      <w:r>
        <w:rPr>
          <w:rFonts w:ascii="David" w:hAnsi="David" w:cs="David"/>
          <w:sz w:val="24"/>
          <w:szCs w:val="24"/>
          <w:rtl/>
        </w:rPr>
        <w:t>דמי המזונות יהיו צמודים למדד המחירים לצרכן הידוע כיום, והם יתעדכנו אחת ל-3 חודשים, ללא חיוב למפרע.</w:t>
      </w:r>
    </w:p>
    <w:p w:rsidR="00283183" w:rsidRDefault="00283183" w:rsidP="00283183">
      <w:pPr>
        <w:pStyle w:val="ae"/>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דמי המזונות ישולמו עד ל-10 לכל חודש עבור החודש השוטף. התשלום הראשון הינו עד ליום 10.1.2025.</w:t>
      </w:r>
    </w:p>
    <w:p w:rsidR="00283183" w:rsidRDefault="00283183" w:rsidP="00283183">
      <w:pPr>
        <w:pStyle w:val="ae"/>
        <w:rPr>
          <w:rFonts w:ascii="David" w:hAnsi="David" w:cs="David"/>
          <w:sz w:val="24"/>
          <w:szCs w:val="24"/>
        </w:rPr>
      </w:pPr>
    </w:p>
    <w:p w:rsidR="00283183" w:rsidRDefault="00283183" w:rsidP="00283183">
      <w:pPr>
        <w:pStyle w:val="ae"/>
        <w:numPr>
          <w:ilvl w:val="0"/>
          <w:numId w:val="1"/>
        </w:numPr>
        <w:spacing w:after="0" w:line="360" w:lineRule="auto"/>
        <w:jc w:val="both"/>
        <w:rPr>
          <w:rFonts w:ascii="David" w:hAnsi="David" w:cs="David"/>
          <w:sz w:val="24"/>
          <w:szCs w:val="24"/>
        </w:rPr>
      </w:pPr>
      <w:r>
        <w:rPr>
          <w:rFonts w:ascii="David" w:hAnsi="David" w:cs="David"/>
          <w:sz w:val="24"/>
          <w:szCs w:val="24"/>
          <w:rtl/>
        </w:rPr>
        <w:t>דמי המזונות ישולמו לחשבון הבנק, שפרטיו ימסרו למשיב, ע"י המבקשת, באמצעות ב"כ הצדדים בתוך 7 ימים.</w:t>
      </w:r>
    </w:p>
    <w:p w:rsidR="00283183" w:rsidRPr="00283183" w:rsidRDefault="00283183" w:rsidP="00283183">
      <w:pPr>
        <w:pStyle w:val="ae"/>
        <w:rPr>
          <w:rFonts w:ascii="David" w:hAnsi="David" w:cs="David"/>
          <w:sz w:val="24"/>
          <w:szCs w:val="24"/>
          <w:rtl/>
        </w:rPr>
      </w:pPr>
    </w:p>
    <w:p w:rsidR="00283183" w:rsidRDefault="00283183" w:rsidP="00283183">
      <w:pPr>
        <w:pStyle w:val="ae"/>
        <w:numPr>
          <w:ilvl w:val="0"/>
          <w:numId w:val="1"/>
        </w:numPr>
        <w:spacing w:after="0" w:line="360" w:lineRule="auto"/>
        <w:jc w:val="both"/>
        <w:rPr>
          <w:rFonts w:ascii="David" w:hAnsi="David" w:cs="David"/>
          <w:sz w:val="24"/>
          <w:szCs w:val="24"/>
        </w:rPr>
      </w:pPr>
      <w:r>
        <w:rPr>
          <w:rFonts w:ascii="David" w:hAnsi="David" w:cs="David"/>
          <w:sz w:val="24"/>
          <w:szCs w:val="24"/>
          <w:rtl/>
        </w:rPr>
        <w:t>בנוסף לדמי המזונות, המשיב ימשיך ויישא במלוא הוצאות אחזקת המדור וכן בהוצאות אחזקת הרכב.</w:t>
      </w:r>
    </w:p>
    <w:p w:rsidR="00283183" w:rsidRDefault="00283183" w:rsidP="00283183">
      <w:pPr>
        <w:pStyle w:val="ae"/>
        <w:rPr>
          <w:rFonts w:ascii="David" w:hAnsi="David" w:cs="David"/>
          <w:sz w:val="24"/>
          <w:szCs w:val="24"/>
        </w:rPr>
      </w:pPr>
    </w:p>
    <w:p w:rsidR="00283183" w:rsidRDefault="00283183" w:rsidP="009605D6">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מועד החיוב הינו מועד הגשת התביעה שהינו יום 4.12.24. מזונות העבר שמיום הגשת התביעה ועד ליום מתן החלטה זו ישול</w:t>
      </w:r>
      <w:r w:rsidR="009605D6">
        <w:rPr>
          <w:rFonts w:ascii="David" w:hAnsi="David" w:cs="David" w:hint="cs"/>
          <w:sz w:val="24"/>
          <w:szCs w:val="24"/>
          <w:rtl/>
        </w:rPr>
        <w:t>מו</w:t>
      </w:r>
      <w:r>
        <w:rPr>
          <w:rFonts w:ascii="David" w:hAnsi="David" w:cs="David"/>
          <w:sz w:val="24"/>
          <w:szCs w:val="24"/>
          <w:rtl/>
        </w:rPr>
        <w:t xml:space="preserve"> ב-3 תשלומים שווים ורצופים, בנוסף לדמי המזונות.</w:t>
      </w:r>
    </w:p>
    <w:p w:rsidR="00283183" w:rsidRDefault="00283183" w:rsidP="00283183">
      <w:pPr>
        <w:pStyle w:val="ae"/>
        <w:rPr>
          <w:rFonts w:ascii="David" w:hAnsi="David" w:cs="David"/>
          <w:sz w:val="24"/>
          <w:szCs w:val="24"/>
        </w:rPr>
      </w:pPr>
    </w:p>
    <w:p w:rsidR="009605D6" w:rsidRPr="00E47E97" w:rsidRDefault="009605D6" w:rsidP="009605D6">
      <w:pPr>
        <w:spacing w:line="360" w:lineRule="auto"/>
        <w:jc w:val="both"/>
        <w:rPr>
          <w:b/>
          <w:bCs/>
        </w:rPr>
      </w:pPr>
      <w:r w:rsidRPr="00E47E97">
        <w:rPr>
          <w:rFonts w:ascii="David" w:eastAsia="David" w:hAnsi="David" w:hint="cs"/>
          <w:b/>
          <w:bCs/>
          <w:noProof w:val="0"/>
          <w:rtl/>
        </w:rPr>
        <w:t>מתיר את פרסום ההחלטה לאחר השמטת פרטים מזהים.</w:t>
      </w: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כ"ח כסלו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29 דצמבר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694918423"/>
        </w:sdtPr>
        <w:sdtEndPr/>
        <w:sdtContent>
          <w:r w:rsidR="002F4B76">
            <w:drawing>
              <wp:inline distT="0" distB="0" distL="0" distR="0" wp14:editId="50D0794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8" cstate="print">
                          <a:extLst/>
                        </a:blip>
                        <a:stretch>
                          <a:fillRect/>
                        </a:stretch>
                      </pic:blipFill>
                      <pic:spPr>
                        <a:xfrm>
                          <a:off x="0" y="0"/>
                          <a:ext cx="1828800" cy="733425"/>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83183">
      <w:headerReference w:type="even" r:id="rId19"/>
      <w:headerReference w:type="default" r:id="rId20"/>
      <w:footerReference w:type="even" r:id="rId21"/>
      <w:footerReference w:type="default" r:id="rId22"/>
      <w:headerReference w:type="first" r:id="rId23"/>
      <w:footerReference w:type="first" r:id="rId24"/>
      <w:pgSz w:w="11907" w:h="16840" w:code="9"/>
      <w:pgMar w:top="1701" w:right="1701" w:bottom="170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4D0" w:rsidRDefault="009014D0">
      <w:r>
        <w:separator/>
      </w:r>
    </w:p>
  </w:endnote>
  <w:endnote w:type="continuationSeparator" w:id="0">
    <w:p w:rsidR="009014D0" w:rsidRDefault="0090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43E" w:rsidRDefault="00DD44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D443E">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D443E">
      <w:rPr>
        <w:rStyle w:val="ab"/>
        <w:rtl/>
      </w:rPr>
      <w:t>8</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43E" w:rsidRDefault="00DD443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4D0" w:rsidRDefault="009014D0">
      <w:r>
        <w:separator/>
      </w:r>
    </w:p>
  </w:footnote>
  <w:footnote w:type="continuationSeparator" w:id="0">
    <w:p w:rsidR="009014D0" w:rsidRDefault="00901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43E" w:rsidRDefault="00DD443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29 דצמבר 2024</w:t>
              </w:r>
            </w:p>
          </w:tc>
        </w:sdtContent>
      </w:sdt>
    </w:tr>
    <w:tr w:rsidR="002914D6">
      <w:trPr>
        <w:trHeight w:val="337"/>
        <w:jc w:val="center"/>
      </w:trPr>
      <w:tc>
        <w:tcPr>
          <w:tcW w:w="8721" w:type="dxa"/>
          <w:gridSpan w:val="2"/>
        </w:tcPr>
        <w:p w:rsidR="002914D6" w:rsidRDefault="009014D0" w:rsidP="009605D6">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11959-12-24</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CC29C2">
                <w:rPr>
                  <w:b/>
                  <w:bCs/>
                  <w:noProof w:val="0"/>
                  <w:sz w:val="26"/>
                  <w:szCs w:val="26"/>
                  <w:rtl/>
                </w:rPr>
                <w:t>צ</w:t>
              </w:r>
              <w:r w:rsidR="009605D6">
                <w:rPr>
                  <w:rFonts w:hint="cs"/>
                  <w:b/>
                  <w:bCs/>
                  <w:noProof w:val="0"/>
                  <w:sz w:val="26"/>
                  <w:szCs w:val="26"/>
                  <w:rtl/>
                </w:rPr>
                <w:t>.</w:t>
              </w:r>
              <w:r w:rsidR="00CC29C2">
                <w:rPr>
                  <w:b/>
                  <w:bCs/>
                  <w:noProof w:val="0"/>
                  <w:sz w:val="26"/>
                  <w:szCs w:val="26"/>
                  <w:rtl/>
                </w:rPr>
                <w:t xml:space="preserve"> נ' צ</w:t>
              </w:r>
              <w:r w:rsidR="009605D6">
                <w:rPr>
                  <w:rFonts w:hint="cs"/>
                  <w:rtl/>
                </w:rPr>
                <w:t>.</w:t>
              </w:r>
            </w:sdtContent>
          </w:sdt>
        </w:p>
        <w:p w:rsidR="002914D6" w:rsidRDefault="002914D6">
          <w:pPr>
            <w:rPr>
              <w:rtl/>
            </w:rPr>
          </w:pPr>
        </w:p>
        <w:p w:rsidR="009555E2" w:rsidRDefault="009555E2">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43E" w:rsidRDefault="00DD443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DF7B0C"/>
    <w:multiLevelType w:val="hybridMultilevel"/>
    <w:tmpl w:val="AA7A9C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01508B2"/>
    <w:multiLevelType w:val="hybridMultilevel"/>
    <w:tmpl w:val="1CE258A2"/>
    <w:lvl w:ilvl="0" w:tplc="7004BBB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836FF"/>
    <w:rsid w:val="0014058F"/>
    <w:rsid w:val="0019474B"/>
    <w:rsid w:val="001F04BA"/>
    <w:rsid w:val="00273D47"/>
    <w:rsid w:val="00283183"/>
    <w:rsid w:val="002856D3"/>
    <w:rsid w:val="002914D6"/>
    <w:rsid w:val="002F4B76"/>
    <w:rsid w:val="002F5307"/>
    <w:rsid w:val="003A0652"/>
    <w:rsid w:val="003C03F7"/>
    <w:rsid w:val="004F4787"/>
    <w:rsid w:val="00530E94"/>
    <w:rsid w:val="005E66BB"/>
    <w:rsid w:val="00822AA5"/>
    <w:rsid w:val="00864580"/>
    <w:rsid w:val="009014D0"/>
    <w:rsid w:val="00904FA7"/>
    <w:rsid w:val="00921E03"/>
    <w:rsid w:val="009555E2"/>
    <w:rsid w:val="009605D6"/>
    <w:rsid w:val="009A04C9"/>
    <w:rsid w:val="009D1711"/>
    <w:rsid w:val="00A66B37"/>
    <w:rsid w:val="00A7661B"/>
    <w:rsid w:val="00B234CE"/>
    <w:rsid w:val="00B31305"/>
    <w:rsid w:val="00CC29C2"/>
    <w:rsid w:val="00CE7F78"/>
    <w:rsid w:val="00D36866"/>
    <w:rsid w:val="00DA714E"/>
    <w:rsid w:val="00DD443E"/>
    <w:rsid w:val="00E72C9F"/>
    <w:rsid w:val="00EC118E"/>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283183"/>
    <w:pPr>
      <w:spacing w:after="200" w:line="27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2831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18490664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1532/2.a" TargetMode="External"/><Relationship Id="rId13" Type="http://schemas.openxmlformats.org/officeDocument/2006/relationships/hyperlink" Target="http://www.nevo.co.il/case/6473724" TargetMode="External"/><Relationship Id="rId18" Type="http://schemas.openxmlformats.org/officeDocument/2006/relationships/image" Target="media/image1.jp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nevo.co.il/case/2281370" TargetMode="External"/><Relationship Id="rId17" Type="http://schemas.openxmlformats.org/officeDocument/2006/relationships/hyperlink" Target="http://www.nevo.co.il/links/psika/?link=&#1506;&#1502;%20177/99"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evo.co.il/links/psika/?link=&#1506;&#1488;%20378/80&amp;Pvol=&#1500;&#1492;"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927279"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nevo.co.il/links/psika/?link=&#1506;&#1488;%20687/83&amp;Pvol=&#1500;&#1495;" TargetMode="External"/><Relationship Id="rId23" Type="http://schemas.openxmlformats.org/officeDocument/2006/relationships/header" Target="header3.xml"/><Relationship Id="rId10" Type="http://schemas.openxmlformats.org/officeDocument/2006/relationships/hyperlink" Target="http://www.nevo.co.il/case/179323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vo.co.il/law/71532" TargetMode="External"/><Relationship Id="rId14" Type="http://schemas.openxmlformats.org/officeDocument/2006/relationships/hyperlink" Target="http://www.nevo.co.il/case/2281370"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1836</Words>
  <Characters>9182</Characters>
  <Application>Microsoft Office Word</Application>
  <DocSecurity>0</DocSecurity>
  <Lines>76</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2025-01-09T09:29:00Z</dcterms:created>
  <dcterms:modified xsi:type="dcterms:W3CDTF">2025-01-09T09:29:00Z</dcterms:modified>
</cp:coreProperties>
</file>